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CD6B" w14:textId="77777777" w:rsidR="00560C64" w:rsidRPr="00855D69" w:rsidRDefault="002D1E0A">
      <w:pPr>
        <w:pStyle w:val="a3"/>
        <w:jc w:val="both"/>
        <w:rPr>
          <w:lang w:val="en-GB"/>
        </w:rPr>
      </w:pPr>
      <w:bookmarkStart w:id="0" w:name="_k8m83nlpnkf8" w:colFirst="0" w:colLast="0"/>
      <w:bookmarkEnd w:id="0"/>
      <w:r w:rsidRPr="00855D69">
        <w:rPr>
          <w:lang w:val="en-GB"/>
        </w:rPr>
        <w:t>"Sustainable development makes tourism one of the main drivers of the economy": the results of MITT 2024</w:t>
      </w:r>
    </w:p>
    <w:p w14:paraId="184F282A" w14:textId="77777777" w:rsidR="001449E9" w:rsidRPr="00855D69" w:rsidRDefault="001449E9" w:rsidP="001449E9">
      <w:pPr>
        <w:rPr>
          <w:i/>
          <w:color w:val="666666"/>
          <w:sz w:val="30"/>
          <w:szCs w:val="30"/>
          <w:lang w:val="en-GB"/>
        </w:rPr>
      </w:pPr>
      <w:bookmarkStart w:id="1" w:name="_jqlaw22qs9mn" w:colFirst="0" w:colLast="0"/>
      <w:bookmarkEnd w:id="1"/>
    </w:p>
    <w:p w14:paraId="3262CB35" w14:textId="26E9939D" w:rsidR="008A623D" w:rsidRPr="00855D69" w:rsidRDefault="001449E9" w:rsidP="001449E9">
      <w:pPr>
        <w:rPr>
          <w:i/>
          <w:color w:val="666666"/>
          <w:sz w:val="30"/>
          <w:szCs w:val="30"/>
          <w:lang w:val="en-GB"/>
        </w:rPr>
      </w:pPr>
      <w:r w:rsidRPr="00855D69">
        <w:rPr>
          <w:i/>
          <w:color w:val="666666"/>
          <w:sz w:val="30"/>
          <w:szCs w:val="30"/>
          <w:lang w:val="en-GB"/>
        </w:rPr>
        <w:t xml:space="preserve">The tourism industry's most anticipated annual event </w:t>
      </w:r>
      <w:r w:rsidR="00C75409" w:rsidRPr="00C75409">
        <w:rPr>
          <w:lang w:val="en-US"/>
        </w:rPr>
        <w:t>—</w:t>
      </w:r>
      <w:r w:rsidRPr="00855D69">
        <w:rPr>
          <w:i/>
          <w:color w:val="666666"/>
          <w:sz w:val="30"/>
          <w:szCs w:val="30"/>
          <w:lang w:val="en-GB"/>
        </w:rPr>
        <w:t xml:space="preserve"> the 30th anniversary of the International Exhibition of Tourism and Hospitality MITT 2024 </w:t>
      </w:r>
      <w:r w:rsidR="00C75409" w:rsidRPr="00C75409">
        <w:rPr>
          <w:lang w:val="en-US"/>
        </w:rPr>
        <w:t>—</w:t>
      </w:r>
      <w:r w:rsidRPr="00855D69">
        <w:rPr>
          <w:i/>
          <w:color w:val="666666"/>
          <w:sz w:val="30"/>
          <w:szCs w:val="30"/>
          <w:lang w:val="en-GB"/>
        </w:rPr>
        <w:t xml:space="preserve"> took place in Moscow from 19 to 21 March.</w:t>
      </w:r>
    </w:p>
    <w:p w14:paraId="6F11A90C" w14:textId="77777777" w:rsidR="001449E9" w:rsidRPr="00855D69" w:rsidRDefault="001449E9" w:rsidP="001449E9">
      <w:pPr>
        <w:rPr>
          <w:lang w:val="en-GB"/>
        </w:rPr>
      </w:pPr>
    </w:p>
    <w:p w14:paraId="0DBECD9A" w14:textId="4BCE876B" w:rsidR="00B47573" w:rsidRPr="00855D69" w:rsidRDefault="00B47573">
      <w:pPr>
        <w:jc w:val="both"/>
        <w:rPr>
          <w:b/>
          <w:bCs/>
          <w:lang w:val="en-GB"/>
        </w:rPr>
      </w:pPr>
      <w:r w:rsidRPr="00855D69">
        <w:rPr>
          <w:lang w:val="en-GB"/>
        </w:rPr>
        <w:t xml:space="preserve">This year's event broke another record, with </w:t>
      </w:r>
      <w:r w:rsidRPr="00855D69">
        <w:rPr>
          <w:b/>
          <w:bCs/>
          <w:lang w:val="en-GB"/>
        </w:rPr>
        <w:t>more than 16,000 people visiting MITT 2024 over the three days of the show</w:t>
      </w:r>
      <w:r w:rsidRPr="00855D69">
        <w:rPr>
          <w:lang w:val="en-GB"/>
        </w:rPr>
        <w:t xml:space="preserve">. In 2023, the event attracted 14.8 thousand visitors </w:t>
      </w:r>
      <w:r w:rsidR="00C75409" w:rsidRPr="00C75409">
        <w:rPr>
          <w:lang w:val="en-US"/>
        </w:rPr>
        <w:t>—</w:t>
      </w:r>
      <w:r w:rsidRPr="00855D69">
        <w:rPr>
          <w:lang w:val="en-GB"/>
        </w:rPr>
        <w:t xml:space="preserve"> and that was also a record: the increase over 2022 was 61%. </w:t>
      </w:r>
      <w:r w:rsidRPr="00981D81">
        <w:rPr>
          <w:b/>
          <w:bCs/>
          <w:lang w:val="en-GB"/>
        </w:rPr>
        <w:t>909</w:t>
      </w:r>
      <w:r w:rsidRPr="00981D81">
        <w:rPr>
          <w:lang w:val="en-GB"/>
        </w:rPr>
        <w:t xml:space="preserve"> companies from </w:t>
      </w:r>
      <w:r w:rsidRPr="00981D81">
        <w:rPr>
          <w:b/>
          <w:bCs/>
          <w:lang w:val="en-GB"/>
        </w:rPr>
        <w:t>29</w:t>
      </w:r>
      <w:r w:rsidRPr="00981D81">
        <w:rPr>
          <w:lang w:val="en-GB"/>
        </w:rPr>
        <w:t xml:space="preserve"> countries</w:t>
      </w:r>
      <w:r w:rsidR="00250BEF" w:rsidRPr="00981D81">
        <w:rPr>
          <w:lang w:val="en-US"/>
        </w:rPr>
        <w:t xml:space="preserve"> participated in the show.</w:t>
      </w:r>
      <w:r w:rsidRPr="00981D81">
        <w:rPr>
          <w:lang w:val="en-GB"/>
        </w:rPr>
        <w:t xml:space="preserve"> Among them were delegations from Russian regions and foreign countries, leading tour operators and travel agents, hotel ch</w:t>
      </w:r>
      <w:r w:rsidRPr="00855D69">
        <w:rPr>
          <w:lang w:val="en-GB"/>
        </w:rPr>
        <w:t>ains, carriers, MICE agencies</w:t>
      </w:r>
      <w:r w:rsidR="006D6E4A" w:rsidRPr="006D6E4A">
        <w:rPr>
          <w:lang w:val="en-US"/>
        </w:rPr>
        <w:t xml:space="preserve"> </w:t>
      </w:r>
      <w:r w:rsidRPr="00855D69">
        <w:rPr>
          <w:lang w:val="en-GB"/>
        </w:rPr>
        <w:t xml:space="preserve">and online booking systems, caravanners and other industry participants. The media paid special attention to the event </w:t>
      </w:r>
      <w:r w:rsidR="00C75409" w:rsidRPr="00C75409">
        <w:rPr>
          <w:lang w:val="en-US"/>
        </w:rPr>
        <w:t>—</w:t>
      </w:r>
      <w:r w:rsidRPr="00855D69">
        <w:rPr>
          <w:lang w:val="en-GB"/>
        </w:rPr>
        <w:t xml:space="preserve"> more than 300 journalists visited </w:t>
      </w:r>
      <w:r w:rsidR="006D6E4A" w:rsidRPr="00855D69">
        <w:rPr>
          <w:lang w:val="en-GB"/>
        </w:rPr>
        <w:t>MITT,</w:t>
      </w:r>
      <w:r w:rsidRPr="00855D69">
        <w:rPr>
          <w:lang w:val="en-GB"/>
        </w:rPr>
        <w:t xml:space="preserve"> including representatives of news agencies, federal channels, business, news and industry publications. As a result, </w:t>
      </w:r>
      <w:r w:rsidRPr="00855D69">
        <w:rPr>
          <w:b/>
          <w:bCs/>
          <w:lang w:val="en-GB"/>
        </w:rPr>
        <w:t>more than 3</w:t>
      </w:r>
      <w:r w:rsidR="0078178A" w:rsidRPr="0078178A">
        <w:rPr>
          <w:b/>
          <w:bCs/>
          <w:lang w:val="en-US"/>
        </w:rPr>
        <w:t xml:space="preserve"> </w:t>
      </w:r>
      <w:r w:rsidRPr="00855D69">
        <w:rPr>
          <w:b/>
          <w:bCs/>
          <w:lang w:val="en-GB"/>
        </w:rPr>
        <w:t xml:space="preserve">000 references to the exhibition were published in the media.  </w:t>
      </w:r>
    </w:p>
    <w:p w14:paraId="1AC6CB78" w14:textId="77777777" w:rsidR="00D50473" w:rsidRPr="00855D69" w:rsidRDefault="00D50473" w:rsidP="00D50473">
      <w:pPr>
        <w:jc w:val="both"/>
        <w:rPr>
          <w:lang w:val="en-GB"/>
        </w:rPr>
      </w:pPr>
    </w:p>
    <w:p w14:paraId="34FAF0BC" w14:textId="7992AA13" w:rsidR="00D50473" w:rsidRPr="00981D81" w:rsidRDefault="00174DF7" w:rsidP="00D50473">
      <w:pPr>
        <w:jc w:val="both"/>
        <w:rPr>
          <w:bCs/>
          <w:lang w:val="en-US"/>
        </w:rPr>
      </w:pPr>
      <w:r w:rsidRPr="00855D69">
        <w:rPr>
          <w:b/>
          <w:lang w:val="en-GB"/>
        </w:rPr>
        <w:t xml:space="preserve">Dmitry Chernyshenko, Deputy Prime Minister of Russia, </w:t>
      </w:r>
      <w:r w:rsidRPr="00855D69">
        <w:rPr>
          <w:bCs/>
          <w:lang w:val="en-GB"/>
        </w:rPr>
        <w:t xml:space="preserve">addressed the participants of MITT 2024. He confirmed that the systematic development of </w:t>
      </w:r>
      <w:r w:rsidR="00FB7E29" w:rsidRPr="00855D69">
        <w:rPr>
          <w:bCs/>
          <w:lang w:val="en-GB"/>
        </w:rPr>
        <w:t xml:space="preserve">Russia's tourism and hospitality industry </w:t>
      </w:r>
      <w:r w:rsidRPr="00855D69">
        <w:rPr>
          <w:bCs/>
          <w:lang w:val="en-GB"/>
        </w:rPr>
        <w:t xml:space="preserve">is an important direction for the national economy. </w:t>
      </w:r>
      <w:r w:rsidR="00AE0956">
        <w:rPr>
          <w:bCs/>
          <w:lang w:val="en-GB"/>
        </w:rPr>
        <w:t>T</w:t>
      </w:r>
      <w:r w:rsidRPr="00855D69">
        <w:rPr>
          <w:bCs/>
          <w:lang w:val="en-GB"/>
        </w:rPr>
        <w:t xml:space="preserve">he Russian Federation is implementing the national project "Tourism and Hospitality Industry", which provides unprecedented financial support and conditions for development. By 2030, </w:t>
      </w:r>
      <w:r w:rsidR="00FB7E29" w:rsidRPr="00855D69">
        <w:rPr>
          <w:bCs/>
          <w:lang w:val="en-GB"/>
        </w:rPr>
        <w:t>the number of citizens travelling across the country is expected to</w:t>
      </w:r>
      <w:r w:rsidRPr="00855D69">
        <w:rPr>
          <w:bCs/>
          <w:lang w:val="en-GB"/>
        </w:rPr>
        <w:t xml:space="preserve"> increase to 140 million trips per year</w:t>
      </w:r>
      <w:r w:rsidR="00767935">
        <w:rPr>
          <w:bCs/>
          <w:lang w:val="en-GB"/>
        </w:rPr>
        <w:t>.</w:t>
      </w:r>
    </w:p>
    <w:p w14:paraId="4ADF1081" w14:textId="77777777" w:rsidR="00174DF7" w:rsidRPr="00855D69" w:rsidRDefault="00174DF7" w:rsidP="00D50473">
      <w:pPr>
        <w:jc w:val="both"/>
        <w:rPr>
          <w:lang w:val="en-GB"/>
        </w:rPr>
      </w:pPr>
    </w:p>
    <w:p w14:paraId="7544E0BD" w14:textId="1EDAF533" w:rsidR="00CA22A4" w:rsidRPr="00670C3B" w:rsidRDefault="006E6595" w:rsidP="00347996">
      <w:pPr>
        <w:jc w:val="both"/>
        <w:rPr>
          <w:lang w:val="en-US"/>
        </w:rPr>
      </w:pPr>
      <w:r w:rsidRPr="001A1D36">
        <w:rPr>
          <w:b/>
          <w:bCs/>
          <w:lang w:val="en-US"/>
        </w:rPr>
        <w:t>The opening ceremony</w:t>
      </w:r>
      <w:r w:rsidRPr="001A1D36">
        <w:rPr>
          <w:lang w:val="en-US"/>
        </w:rPr>
        <w:t xml:space="preserve"> took place on the first day of the exhibition.</w:t>
      </w:r>
      <w:r w:rsidR="000E70DE" w:rsidRPr="001A1D36">
        <w:rPr>
          <w:lang w:val="en-US"/>
        </w:rPr>
        <w:t xml:space="preserve"> Welcoming statements were </w:t>
      </w:r>
      <w:r w:rsidR="005D5CBF" w:rsidRPr="001A1D36">
        <w:rPr>
          <w:lang w:val="en-US"/>
        </w:rPr>
        <w:t xml:space="preserve">also </w:t>
      </w:r>
      <w:r w:rsidR="000E70DE" w:rsidRPr="001A1D36">
        <w:rPr>
          <w:lang w:val="en-US"/>
        </w:rPr>
        <w:t xml:space="preserve">made </w:t>
      </w:r>
      <w:r w:rsidR="008D4EBE" w:rsidRPr="001A1D36">
        <w:rPr>
          <w:lang w:val="en-US"/>
        </w:rPr>
        <w:t>by</w:t>
      </w:r>
      <w:r w:rsidR="008D4EBE" w:rsidRPr="008D4EBE">
        <w:rPr>
          <w:lang w:val="en-US"/>
        </w:rPr>
        <w:t xml:space="preserve"> </w:t>
      </w:r>
      <w:r w:rsidR="008D4EBE" w:rsidRPr="00827F9D">
        <w:rPr>
          <w:b/>
          <w:bCs/>
          <w:lang w:val="en-US"/>
        </w:rPr>
        <w:t>Mr</w:t>
      </w:r>
      <w:r w:rsidR="00827F9D" w:rsidRPr="00827F9D">
        <w:rPr>
          <w:b/>
          <w:bCs/>
          <w:lang w:val="en-US"/>
        </w:rPr>
        <w:t>.</w:t>
      </w:r>
      <w:r w:rsidR="008D4EBE" w:rsidRPr="00827F9D">
        <w:rPr>
          <w:b/>
          <w:bCs/>
          <w:lang w:val="en-US"/>
        </w:rPr>
        <w:t xml:space="preserve"> Roshan M. Thomas</w:t>
      </w:r>
      <w:r w:rsidR="00827F9D">
        <w:rPr>
          <w:lang w:val="en-US"/>
        </w:rPr>
        <w:t xml:space="preserve"> (</w:t>
      </w:r>
      <w:r w:rsidR="008D4EBE" w:rsidRPr="008D4EBE">
        <w:rPr>
          <w:lang w:val="en-US"/>
        </w:rPr>
        <w:t>Director, Ministry of Tourism</w:t>
      </w:r>
      <w:r w:rsidR="00827F9D" w:rsidRPr="00827F9D">
        <w:rPr>
          <w:lang w:val="en-US"/>
        </w:rPr>
        <w:t xml:space="preserve">, </w:t>
      </w:r>
      <w:r w:rsidR="00827F9D">
        <w:rPr>
          <w:lang w:val="en-US"/>
        </w:rPr>
        <w:t>India),</w:t>
      </w:r>
      <w:r w:rsidR="008D4EBE" w:rsidRPr="00827F9D">
        <w:rPr>
          <w:lang w:val="en-US"/>
        </w:rPr>
        <w:t xml:space="preserve"> </w:t>
      </w:r>
      <w:r w:rsidR="00670C3B" w:rsidRPr="001A1D36">
        <w:rPr>
          <w:b/>
          <w:bCs/>
          <w:lang w:val="en-US"/>
        </w:rPr>
        <w:t>H.E. Mr. Khalid Abdullah Shawabkah</w:t>
      </w:r>
      <w:r w:rsidR="00670C3B" w:rsidRPr="001A1D36">
        <w:rPr>
          <w:lang w:val="en-US"/>
        </w:rPr>
        <w:t xml:space="preserve"> (Ambassador Extraordinary and Plenipotentiary of the Hashemite Kingdom of Jordan to the Russian Federation), </w:t>
      </w:r>
      <w:r w:rsidR="003237DA" w:rsidRPr="003237DA">
        <w:rPr>
          <w:b/>
          <w:bCs/>
          <w:lang w:val="en-US"/>
        </w:rPr>
        <w:t>Mr. Nalin Perera</w:t>
      </w:r>
      <w:r w:rsidR="003237DA">
        <w:rPr>
          <w:b/>
          <w:bCs/>
          <w:lang w:val="en-US"/>
        </w:rPr>
        <w:t xml:space="preserve"> </w:t>
      </w:r>
      <w:r w:rsidR="003237DA" w:rsidRPr="003237DA">
        <w:rPr>
          <w:lang w:val="en-US"/>
        </w:rPr>
        <w:t>(General Director of the Bureau for Tourism Development of the Democratic Socialist Republic of Sri Lanka).</w:t>
      </w:r>
      <w:r w:rsidR="003237DA">
        <w:rPr>
          <w:b/>
          <w:bCs/>
          <w:lang w:val="en-US"/>
        </w:rPr>
        <w:t xml:space="preserve"> </w:t>
      </w:r>
    </w:p>
    <w:p w14:paraId="6C91BDD8" w14:textId="77777777" w:rsidR="00B864B9" w:rsidRPr="00CD617C" w:rsidRDefault="00B864B9">
      <w:pPr>
        <w:jc w:val="both"/>
        <w:rPr>
          <w:highlight w:val="yellow"/>
          <w:lang w:val="en-US"/>
        </w:rPr>
      </w:pPr>
    </w:p>
    <w:p w14:paraId="2F783520" w14:textId="70B4BA0D" w:rsidR="00C06AFA" w:rsidRPr="00981D81" w:rsidRDefault="000F4803" w:rsidP="00A868DE">
      <w:pPr>
        <w:jc w:val="both"/>
        <w:rPr>
          <w:lang w:val="en-US"/>
        </w:rPr>
      </w:pPr>
      <w:r w:rsidRPr="00981D81">
        <w:rPr>
          <w:b/>
          <w:bCs/>
          <w:lang w:val="en-US"/>
        </w:rPr>
        <w:t>The cocktail party</w:t>
      </w:r>
      <w:r w:rsidRPr="00981D81">
        <w:rPr>
          <w:lang w:val="en-US"/>
        </w:rPr>
        <w:t xml:space="preserve"> </w:t>
      </w:r>
      <w:r w:rsidR="00C75409" w:rsidRPr="00981D81">
        <w:rPr>
          <w:lang w:val="en-US"/>
        </w:rPr>
        <w:t>—</w:t>
      </w:r>
      <w:r w:rsidRPr="00981D81">
        <w:rPr>
          <w:lang w:val="en-US"/>
        </w:rPr>
        <w:t xml:space="preserve"> a </w:t>
      </w:r>
      <w:r w:rsidR="00176EEF" w:rsidRPr="00981D81">
        <w:rPr>
          <w:lang w:val="en-US"/>
        </w:rPr>
        <w:t xml:space="preserve">private event for ministers and ambassadors </w:t>
      </w:r>
      <w:r w:rsidR="00C75409" w:rsidRPr="00981D81">
        <w:rPr>
          <w:lang w:val="en-US"/>
        </w:rPr>
        <w:t>—</w:t>
      </w:r>
      <w:r w:rsidR="004E2049" w:rsidRPr="00981D81">
        <w:rPr>
          <w:lang w:val="en-US"/>
        </w:rPr>
        <w:t xml:space="preserve"> took</w:t>
      </w:r>
      <w:r w:rsidR="00176EEF" w:rsidRPr="00981D81">
        <w:rPr>
          <w:lang w:val="en-US"/>
        </w:rPr>
        <w:t xml:space="preserve"> place </w:t>
      </w:r>
      <w:r w:rsidRPr="00981D81">
        <w:rPr>
          <w:lang w:val="en-US"/>
        </w:rPr>
        <w:t xml:space="preserve">shortly before the opening ceremony. </w:t>
      </w:r>
      <w:r w:rsidR="00B251B4" w:rsidRPr="00981D81">
        <w:rPr>
          <w:lang w:val="en-US"/>
        </w:rPr>
        <w:t xml:space="preserve">The menu includes snacks and drinks from “Zaboy” restaurant (Kemerovo), Altai Republic, Dagestan Republic and Château de Talu winery (Krasnodar Krai). </w:t>
      </w:r>
      <w:r w:rsidR="00C75409" w:rsidRPr="00981D81">
        <w:rPr>
          <w:lang w:val="en-US"/>
        </w:rPr>
        <w:t xml:space="preserve">Altai Republic government became the partner of cocktail party. </w:t>
      </w:r>
      <w:r w:rsidR="004F173B" w:rsidRPr="00981D81">
        <w:rPr>
          <w:lang w:val="en-US"/>
        </w:rPr>
        <w:t>A</w:t>
      </w:r>
      <w:r w:rsidR="00981179" w:rsidRPr="00981D81">
        <w:rPr>
          <w:lang w:val="en-US"/>
        </w:rPr>
        <w:t>lso a</w:t>
      </w:r>
      <w:r w:rsidR="004F173B" w:rsidRPr="00981D81">
        <w:rPr>
          <w:lang w:val="en-US"/>
        </w:rPr>
        <w:t xml:space="preserve">mong the invitees: </w:t>
      </w:r>
      <w:r w:rsidR="000D32A9" w:rsidRPr="00981D81">
        <w:rPr>
          <w:b/>
          <w:bCs/>
          <w:lang w:val="en-US"/>
        </w:rPr>
        <w:t>H.E. Mr. Khalid Abdullah Shawabkah</w:t>
      </w:r>
      <w:r w:rsidR="000D32A9" w:rsidRPr="00981D81">
        <w:rPr>
          <w:lang w:val="en-US"/>
        </w:rPr>
        <w:t xml:space="preserve"> (Ambassador Extraordinary and Plenipotentiary of the </w:t>
      </w:r>
      <w:r w:rsidR="000D32A9" w:rsidRPr="00981D81">
        <w:rPr>
          <w:lang w:val="en-US"/>
        </w:rPr>
        <w:lastRenderedPageBreak/>
        <w:t>Hashemite Kingdom of Jordan to the Russian Federation),</w:t>
      </w:r>
      <w:r w:rsidR="008079F1" w:rsidRPr="00981D81">
        <w:rPr>
          <w:lang w:val="en-US"/>
        </w:rPr>
        <w:t xml:space="preserve"> </w:t>
      </w:r>
      <w:r w:rsidR="00623843" w:rsidRPr="00981D81">
        <w:rPr>
          <w:b/>
          <w:bCs/>
          <w:lang w:val="en-US"/>
        </w:rPr>
        <w:t>Mr.</w:t>
      </w:r>
      <w:r w:rsidR="00623843" w:rsidRPr="00981D81">
        <w:rPr>
          <w:lang w:val="en-US"/>
        </w:rPr>
        <w:t xml:space="preserve"> </w:t>
      </w:r>
      <w:r w:rsidR="008079F1" w:rsidRPr="00981D81">
        <w:rPr>
          <w:b/>
          <w:bCs/>
          <w:lang w:val="en-US"/>
        </w:rPr>
        <w:t>Shri Ved Prakash Singh</w:t>
      </w:r>
      <w:r w:rsidR="008079F1" w:rsidRPr="00981D81">
        <w:rPr>
          <w:lang w:val="en-US"/>
        </w:rPr>
        <w:t xml:space="preserve"> (</w:t>
      </w:r>
      <w:r w:rsidR="00662CCF" w:rsidRPr="00981D81">
        <w:rPr>
          <w:lang w:val="en-US"/>
        </w:rPr>
        <w:t xml:space="preserve">First Secretary/HOC to Russia), </w:t>
      </w:r>
      <w:r w:rsidR="00357CDD" w:rsidRPr="00981D81">
        <w:rPr>
          <w:b/>
          <w:bCs/>
          <w:lang w:val="en-US"/>
        </w:rPr>
        <w:t>H.E. Mr. Jose Antonio Morato Tavares</w:t>
      </w:r>
      <w:r w:rsidR="00357CDD" w:rsidRPr="00981D81">
        <w:rPr>
          <w:lang w:val="en-US"/>
        </w:rPr>
        <w:t xml:space="preserve"> (Ambassador Extraordinary and Plenipotentiary of the Republic of Indonesia to the Russian Federation and the Republic of Belarus), </w:t>
      </w:r>
      <w:r w:rsidR="001E67C7" w:rsidRPr="00981D81">
        <w:rPr>
          <w:b/>
          <w:bCs/>
          <w:lang w:val="en-US"/>
        </w:rPr>
        <w:t xml:space="preserve">H.E. Mr. Boumediene Guennad </w:t>
      </w:r>
      <w:r w:rsidR="00036AAB" w:rsidRPr="00981D81">
        <w:rPr>
          <w:lang w:val="en-US"/>
        </w:rPr>
        <w:t xml:space="preserve">(Ambassador of Algeria to the Russian Federation), </w:t>
      </w:r>
      <w:r w:rsidR="00C64872" w:rsidRPr="00981D81">
        <w:rPr>
          <w:b/>
          <w:bCs/>
          <w:lang w:val="en-US"/>
        </w:rPr>
        <w:t>H.E. Mr. Jesus Rafael Salazar Velasquez</w:t>
      </w:r>
      <w:r w:rsidR="00C64872" w:rsidRPr="00981D81">
        <w:rPr>
          <w:lang w:val="en-US"/>
        </w:rPr>
        <w:t xml:space="preserve"> (</w:t>
      </w:r>
      <w:r w:rsidR="00D4203E" w:rsidRPr="00981D81">
        <w:rPr>
          <w:lang w:val="en-US"/>
        </w:rPr>
        <w:t xml:space="preserve">Ambassador Extraordinary and Plenipotentiary of the Bolivarian Republic of Venezuela), </w:t>
      </w:r>
      <w:r w:rsidR="00E956AC" w:rsidRPr="00981D81">
        <w:rPr>
          <w:b/>
          <w:bCs/>
          <w:lang w:val="en-US"/>
        </w:rPr>
        <w:t>H. E. Mr. Nazih Ali Bahaaeldin Elnaggary</w:t>
      </w:r>
      <w:r w:rsidR="00E956AC" w:rsidRPr="00981D81">
        <w:rPr>
          <w:lang w:val="en-US"/>
        </w:rPr>
        <w:t xml:space="preserve"> (Ambassador Extraornidary and Plenipotentiary of the Arab Republic of Egypt to the Russian Federation), </w:t>
      </w:r>
      <w:r w:rsidR="00CD617C" w:rsidRPr="00981D81">
        <w:rPr>
          <w:b/>
          <w:bCs/>
          <w:lang w:val="en-US"/>
        </w:rPr>
        <w:t>H.E. Mr. Julio Antonio Garmendia Peña</w:t>
      </w:r>
      <w:r w:rsidR="00981179" w:rsidRPr="00981D81">
        <w:rPr>
          <w:lang w:val="en-US"/>
        </w:rPr>
        <w:t xml:space="preserve"> (Ambassador Extraordinary and Plenipotentiary of the Republic of Cuba in the Russian Federation). </w:t>
      </w:r>
    </w:p>
    <w:p w14:paraId="7C6A32D2" w14:textId="77777777" w:rsidR="00C06AFA" w:rsidRPr="00981D81" w:rsidRDefault="00C06AFA" w:rsidP="00A868DE">
      <w:pPr>
        <w:jc w:val="both"/>
        <w:rPr>
          <w:lang w:val="en-US"/>
        </w:rPr>
      </w:pPr>
    </w:p>
    <w:p w14:paraId="79BE5DCB" w14:textId="6F65FD86" w:rsidR="00C06AFA" w:rsidRPr="00981D81" w:rsidRDefault="00565E0B" w:rsidP="00A868DE">
      <w:pPr>
        <w:jc w:val="both"/>
        <w:rPr>
          <w:b/>
          <w:bCs/>
          <w:lang w:val="en-US"/>
        </w:rPr>
      </w:pPr>
      <w:r w:rsidRPr="00981D81">
        <w:rPr>
          <w:b/>
          <w:bCs/>
          <w:lang w:val="en-US"/>
        </w:rPr>
        <w:t>Exposition</w:t>
      </w:r>
    </w:p>
    <w:p w14:paraId="54774A47" w14:textId="77777777" w:rsidR="0072239C" w:rsidRPr="00981D81" w:rsidRDefault="0072239C">
      <w:pPr>
        <w:jc w:val="both"/>
        <w:rPr>
          <w:lang w:val="en-US"/>
        </w:rPr>
      </w:pPr>
    </w:p>
    <w:p w14:paraId="582AE164" w14:textId="607CC2AF" w:rsidR="00560C64" w:rsidRPr="00981D81" w:rsidRDefault="002D1E0A">
      <w:pPr>
        <w:jc w:val="both"/>
        <w:rPr>
          <w:lang w:val="en-GB"/>
        </w:rPr>
      </w:pPr>
      <w:r w:rsidRPr="00981D81">
        <w:rPr>
          <w:b/>
          <w:bCs/>
          <w:lang w:val="en-GB"/>
        </w:rPr>
        <w:t xml:space="preserve">58 regions of the Russian Federation </w:t>
      </w:r>
      <w:r w:rsidR="00B81A4C" w:rsidRPr="00981D81">
        <w:rPr>
          <w:b/>
          <w:bCs/>
          <w:lang w:val="en-GB"/>
        </w:rPr>
        <w:t>have joined</w:t>
      </w:r>
      <w:r w:rsidR="00D50473" w:rsidRPr="00981D81">
        <w:rPr>
          <w:b/>
          <w:bCs/>
          <w:lang w:val="en-GB"/>
        </w:rPr>
        <w:t xml:space="preserve"> MITT 2024</w:t>
      </w:r>
      <w:r w:rsidRPr="00981D81">
        <w:rPr>
          <w:b/>
          <w:bCs/>
          <w:lang w:val="en-GB"/>
        </w:rPr>
        <w:t xml:space="preserve">. </w:t>
      </w:r>
      <w:r w:rsidRPr="00981D81">
        <w:rPr>
          <w:lang w:val="en-GB"/>
        </w:rPr>
        <w:t xml:space="preserve">All of them are actively creating and developing traveller-friendly infrastructure and stimulating new types of tourism - from ski and health tourism to event and author tourism. </w:t>
      </w:r>
    </w:p>
    <w:p w14:paraId="7018EFA2" w14:textId="77777777" w:rsidR="008A623D" w:rsidRPr="00981D81" w:rsidRDefault="008A623D">
      <w:pPr>
        <w:jc w:val="both"/>
        <w:rPr>
          <w:lang w:val="en-GB"/>
        </w:rPr>
      </w:pPr>
    </w:p>
    <w:p w14:paraId="55B5268A" w14:textId="42B6C14D" w:rsidR="001E67BE" w:rsidRPr="00981D81" w:rsidRDefault="001C38E4">
      <w:pPr>
        <w:jc w:val="both"/>
        <w:rPr>
          <w:b/>
          <w:bCs/>
          <w:lang w:val="en-GB"/>
        </w:rPr>
      </w:pPr>
      <w:r w:rsidRPr="00981D81">
        <w:rPr>
          <w:lang w:val="en-GB"/>
        </w:rPr>
        <w:t xml:space="preserve">Foreign exhibitors also introduced visitors to the wide range of leisure options and national flavours: </w:t>
      </w:r>
      <w:r w:rsidRPr="00981D81">
        <w:rPr>
          <w:b/>
          <w:bCs/>
          <w:lang w:val="en-GB"/>
        </w:rPr>
        <w:t xml:space="preserve">Uzbekistan, </w:t>
      </w:r>
      <w:r w:rsidR="002562A3" w:rsidRPr="00981D81">
        <w:rPr>
          <w:b/>
          <w:bCs/>
          <w:lang w:val="en-GB"/>
        </w:rPr>
        <w:t>Tajikistan,</w:t>
      </w:r>
      <w:r w:rsidRPr="00981D81">
        <w:rPr>
          <w:lang w:val="en-GB"/>
        </w:rPr>
        <w:t xml:space="preserve"> </w:t>
      </w:r>
      <w:r w:rsidR="00E4569C" w:rsidRPr="00981D81">
        <w:rPr>
          <w:b/>
          <w:bCs/>
          <w:lang w:val="en-US"/>
        </w:rPr>
        <w:t>Sri Lanka</w:t>
      </w:r>
      <w:r w:rsidR="000A6E1D" w:rsidRPr="00981D81">
        <w:rPr>
          <w:lang w:val="en-US"/>
        </w:rPr>
        <w:t xml:space="preserve"> </w:t>
      </w:r>
      <w:r w:rsidRPr="00981D81">
        <w:rPr>
          <w:lang w:val="en-GB"/>
        </w:rPr>
        <w:t xml:space="preserve">and others. </w:t>
      </w:r>
      <w:r w:rsidR="00805989" w:rsidRPr="00981D81">
        <w:rPr>
          <w:b/>
          <w:bCs/>
          <w:lang w:val="en-GB"/>
        </w:rPr>
        <w:t>UAE (Abu Dhabi)</w:t>
      </w:r>
      <w:r w:rsidR="002E09AF" w:rsidRPr="00981D81">
        <w:rPr>
          <w:b/>
          <w:bCs/>
          <w:lang w:val="en-US"/>
        </w:rPr>
        <w:t xml:space="preserve"> </w:t>
      </w:r>
      <w:r w:rsidR="002E09AF" w:rsidRPr="00981D81">
        <w:rPr>
          <w:lang w:val="en-US"/>
        </w:rPr>
        <w:t>became the participant for the first time.</w:t>
      </w:r>
      <w:r w:rsidR="002E09AF" w:rsidRPr="00981D81">
        <w:rPr>
          <w:b/>
          <w:bCs/>
          <w:lang w:val="en-US"/>
        </w:rPr>
        <w:t xml:space="preserve"> </w:t>
      </w:r>
      <w:r w:rsidR="007D4F88" w:rsidRPr="00981D81">
        <w:rPr>
          <w:lang w:val="en-US"/>
        </w:rPr>
        <w:t>After a long break</w:t>
      </w:r>
      <w:r w:rsidR="007D4F88" w:rsidRPr="00981D81">
        <w:rPr>
          <w:b/>
          <w:bCs/>
          <w:lang w:val="en-US"/>
        </w:rPr>
        <w:t xml:space="preserve"> </w:t>
      </w:r>
      <w:r w:rsidR="00C24173" w:rsidRPr="00981D81">
        <w:rPr>
          <w:b/>
          <w:bCs/>
          <w:lang w:val="en-GB"/>
        </w:rPr>
        <w:t>China,</w:t>
      </w:r>
      <w:r w:rsidR="00805989" w:rsidRPr="00981D81">
        <w:rPr>
          <w:b/>
          <w:bCs/>
          <w:lang w:val="en-GB"/>
        </w:rPr>
        <w:t xml:space="preserve"> </w:t>
      </w:r>
      <w:r w:rsidR="002E09AF" w:rsidRPr="00981D81">
        <w:rPr>
          <w:b/>
          <w:bCs/>
          <w:lang w:val="en-GB"/>
        </w:rPr>
        <w:t xml:space="preserve">Egypt, </w:t>
      </w:r>
      <w:r w:rsidR="00805989" w:rsidRPr="00981D81">
        <w:rPr>
          <w:b/>
          <w:bCs/>
          <w:lang w:val="en-GB"/>
        </w:rPr>
        <w:t>Jordan,</w:t>
      </w:r>
      <w:r w:rsidR="00C24173" w:rsidRPr="00981D81">
        <w:rPr>
          <w:b/>
          <w:bCs/>
          <w:lang w:val="en-GB"/>
        </w:rPr>
        <w:t xml:space="preserve"> Venezuela </w:t>
      </w:r>
      <w:r w:rsidR="007D4F88" w:rsidRPr="00981D81">
        <w:rPr>
          <w:lang w:val="en-GB"/>
        </w:rPr>
        <w:t>returned to</w:t>
      </w:r>
      <w:r w:rsidR="007D4F88" w:rsidRPr="00981D81">
        <w:rPr>
          <w:b/>
          <w:bCs/>
          <w:lang w:val="en-GB"/>
        </w:rPr>
        <w:t xml:space="preserve"> MITT. </w:t>
      </w:r>
    </w:p>
    <w:p w14:paraId="7DB631D1" w14:textId="77777777" w:rsidR="00D31FE3" w:rsidRPr="00981D81" w:rsidRDefault="00D31FE3">
      <w:pPr>
        <w:jc w:val="both"/>
        <w:rPr>
          <w:b/>
          <w:bCs/>
          <w:lang w:val="en-US"/>
        </w:rPr>
      </w:pPr>
    </w:p>
    <w:p w14:paraId="555684BC" w14:textId="4A6F940B" w:rsidR="001E67BE" w:rsidRPr="00981D81" w:rsidRDefault="00E443B1">
      <w:pPr>
        <w:jc w:val="both"/>
        <w:rPr>
          <w:lang w:val="en-GB"/>
        </w:rPr>
      </w:pPr>
      <w:r w:rsidRPr="00981D81">
        <w:rPr>
          <w:lang w:val="en-GB"/>
        </w:rPr>
        <w:t xml:space="preserve">Regular foreign </w:t>
      </w:r>
      <w:r w:rsidR="00D31FE3" w:rsidRPr="00981D81">
        <w:rPr>
          <w:lang w:val="en-GB"/>
        </w:rPr>
        <w:t xml:space="preserve">participants </w:t>
      </w:r>
      <w:r w:rsidRPr="00981D81">
        <w:rPr>
          <w:lang w:val="en-GB"/>
        </w:rPr>
        <w:t xml:space="preserve">like </w:t>
      </w:r>
      <w:r w:rsidR="00D31FE3" w:rsidRPr="00981D81">
        <w:rPr>
          <w:b/>
          <w:bCs/>
          <w:lang w:val="en-GB"/>
        </w:rPr>
        <w:t>Türkiye, Azerbaijan, Cuba, Belarus, Thailand</w:t>
      </w:r>
      <w:r w:rsidR="00D31FE3" w:rsidRPr="00981D81">
        <w:rPr>
          <w:lang w:val="en-GB"/>
        </w:rPr>
        <w:t xml:space="preserve"> and others presented a bright</w:t>
      </w:r>
      <w:r w:rsidR="00A72B11" w:rsidRPr="00981D81">
        <w:rPr>
          <w:lang w:val="en-GB"/>
        </w:rPr>
        <w:t xml:space="preserve"> and colourful</w:t>
      </w:r>
      <w:r w:rsidR="00D31FE3" w:rsidRPr="00981D81">
        <w:rPr>
          <w:lang w:val="en-GB"/>
        </w:rPr>
        <w:t xml:space="preserve"> exposition.</w:t>
      </w:r>
    </w:p>
    <w:p w14:paraId="3AF557CA" w14:textId="77777777" w:rsidR="00D31FE3" w:rsidRPr="00981D81" w:rsidRDefault="00D31FE3">
      <w:pPr>
        <w:jc w:val="both"/>
        <w:rPr>
          <w:lang w:val="en-GB"/>
        </w:rPr>
      </w:pPr>
    </w:p>
    <w:p w14:paraId="73CC713C" w14:textId="21946795" w:rsidR="001C38E4" w:rsidRPr="00981D81" w:rsidRDefault="001C38E4">
      <w:pPr>
        <w:jc w:val="both"/>
        <w:rPr>
          <w:lang w:val="en-GB"/>
        </w:rPr>
      </w:pPr>
      <w:r w:rsidRPr="00981D81">
        <w:rPr>
          <w:lang w:val="en-GB"/>
        </w:rPr>
        <w:t xml:space="preserve">The partner country for the event was </w:t>
      </w:r>
      <w:r w:rsidRPr="00981D81">
        <w:rPr>
          <w:b/>
          <w:bCs/>
          <w:lang w:val="en-GB"/>
        </w:rPr>
        <w:t>India</w:t>
      </w:r>
      <w:r w:rsidRPr="00981D81">
        <w:rPr>
          <w:lang w:val="en-GB"/>
        </w:rPr>
        <w:t xml:space="preserve"> (under the </w:t>
      </w:r>
      <w:r w:rsidRPr="00981D81">
        <w:rPr>
          <w:b/>
          <w:bCs/>
          <w:lang w:val="en-GB"/>
        </w:rPr>
        <w:t>"Incredible India"</w:t>
      </w:r>
      <w:r w:rsidRPr="00981D81">
        <w:rPr>
          <w:lang w:val="en-GB"/>
        </w:rPr>
        <w:t xml:space="preserve"> campaign), representatives of the country's Ministry of Tourism shared information with guests about current holiday destinations. </w:t>
      </w:r>
    </w:p>
    <w:p w14:paraId="0F87262B" w14:textId="77777777" w:rsidR="00504106" w:rsidRPr="00981D81" w:rsidRDefault="00504106">
      <w:pPr>
        <w:jc w:val="both"/>
        <w:rPr>
          <w:lang w:val="en-GB"/>
        </w:rPr>
      </w:pPr>
    </w:p>
    <w:p w14:paraId="15AB8532" w14:textId="44A6E3C8" w:rsidR="00054BA1" w:rsidRDefault="00504106">
      <w:pPr>
        <w:jc w:val="both"/>
        <w:rPr>
          <w:lang w:val="en-GB"/>
        </w:rPr>
      </w:pPr>
      <w:r w:rsidRPr="00981D81">
        <w:rPr>
          <w:lang w:val="en-GB"/>
        </w:rPr>
        <w:t>Ministry of Tourism, Government of India participated at MITT Moscow, one of the important global travel exhibitions</w:t>
      </w:r>
      <w:r w:rsidR="00871B99" w:rsidRPr="00981D81">
        <w:rPr>
          <w:lang w:val="en-GB"/>
        </w:rPr>
        <w:t>,</w:t>
      </w:r>
      <w:r w:rsidRPr="00981D81">
        <w:rPr>
          <w:lang w:val="en-GB"/>
        </w:rPr>
        <w:t xml:space="preserve"> to showcase varied tourism products and series of transformative experiences for </w:t>
      </w:r>
      <w:r w:rsidR="00DF3D0C" w:rsidRPr="00981D81">
        <w:rPr>
          <w:lang w:val="en-GB"/>
        </w:rPr>
        <w:t>travellers</w:t>
      </w:r>
      <w:r w:rsidRPr="00981D81">
        <w:rPr>
          <w:lang w:val="en-GB"/>
        </w:rPr>
        <w:t xml:space="preserve"> to India under the theme ‘Incredible India!’. The Indian delegation is led by Ministry of Tourism along with State Governments and private stakeholders like Destination Management Companies, tour operators and hotel chains. </w:t>
      </w:r>
      <w:r w:rsidR="00DF3D0C" w:rsidRPr="00981D81">
        <w:rPr>
          <w:lang w:val="en-GB"/>
        </w:rPr>
        <w:t xml:space="preserve">The India pavilion at MITT Moscow is being led by </w:t>
      </w:r>
      <w:r w:rsidR="00DF3D0C" w:rsidRPr="00981D81">
        <w:rPr>
          <w:b/>
          <w:bCs/>
          <w:lang w:val="en-GB"/>
        </w:rPr>
        <w:t>Mr Roshan M. Thomas, Director, Ministry of Tourism</w:t>
      </w:r>
      <w:r w:rsidR="00DF3D0C" w:rsidRPr="00981D81">
        <w:rPr>
          <w:lang w:val="en-GB"/>
        </w:rPr>
        <w:t xml:space="preserve">. India has some </w:t>
      </w:r>
      <w:r w:rsidR="002836A8" w:rsidRPr="00981D81">
        <w:rPr>
          <w:lang w:val="en-GB"/>
        </w:rPr>
        <w:t>‘long-playing’</w:t>
      </w:r>
      <w:r w:rsidR="00DF3D0C" w:rsidRPr="00981D81">
        <w:rPr>
          <w:lang w:val="en-GB"/>
        </w:rPr>
        <w:t xml:space="preserve"> promotional plans to promote India globally and major identified source markets of the world including Russia.</w:t>
      </w:r>
      <w:r w:rsidR="00DF3D0C" w:rsidRPr="00DF3D0C">
        <w:rPr>
          <w:lang w:val="en-GB"/>
        </w:rPr>
        <w:t xml:space="preserve">  </w:t>
      </w:r>
    </w:p>
    <w:p w14:paraId="1CAF60D2" w14:textId="77777777" w:rsidR="00C06AFA" w:rsidRPr="00DF3D0C" w:rsidRDefault="00C06AFA">
      <w:pPr>
        <w:jc w:val="both"/>
        <w:rPr>
          <w:lang w:val="en-US"/>
        </w:rPr>
      </w:pPr>
    </w:p>
    <w:p w14:paraId="56A1D6EB" w14:textId="09C70FD4" w:rsidR="00560C64" w:rsidRPr="00981D81" w:rsidRDefault="002D1E0A">
      <w:pPr>
        <w:spacing w:before="240" w:after="240"/>
        <w:rPr>
          <w:b/>
          <w:lang w:val="en-US"/>
        </w:rPr>
      </w:pPr>
      <w:r w:rsidRPr="00855D69">
        <w:rPr>
          <w:b/>
          <w:lang w:val="en-GB"/>
        </w:rPr>
        <w:t>MITT</w:t>
      </w:r>
      <w:r w:rsidRPr="00981D81">
        <w:rPr>
          <w:b/>
          <w:lang w:val="en-US"/>
        </w:rPr>
        <w:t xml:space="preserve"> 2024 </w:t>
      </w:r>
      <w:r w:rsidR="001C38E4" w:rsidRPr="00855D69">
        <w:rPr>
          <w:b/>
          <w:lang w:val="en-GB"/>
        </w:rPr>
        <w:t>Conference</w:t>
      </w:r>
      <w:r w:rsidRPr="00981D81">
        <w:rPr>
          <w:b/>
          <w:lang w:val="en-US"/>
        </w:rPr>
        <w:t xml:space="preserve"> </w:t>
      </w:r>
      <w:r w:rsidRPr="00855D69">
        <w:rPr>
          <w:b/>
          <w:lang w:val="en-GB"/>
        </w:rPr>
        <w:t>Programme</w:t>
      </w:r>
    </w:p>
    <w:p w14:paraId="3BB02C4C" w14:textId="0FC901C9" w:rsidR="008179A7" w:rsidRPr="00330651" w:rsidRDefault="008179A7" w:rsidP="00330651">
      <w:pPr>
        <w:spacing w:before="240" w:after="240"/>
        <w:jc w:val="both"/>
        <w:rPr>
          <w:color w:val="0D0D0D" w:themeColor="text1" w:themeTint="F2"/>
          <w:lang w:val="en-US"/>
        </w:rPr>
      </w:pPr>
      <w:r w:rsidRPr="00855D69">
        <w:rPr>
          <w:lang w:val="en-GB"/>
        </w:rPr>
        <w:t xml:space="preserve">Over the three days of the show, there were </w:t>
      </w:r>
      <w:r w:rsidRPr="00330651">
        <w:rPr>
          <w:b/>
          <w:bCs/>
          <w:lang w:val="en-GB"/>
        </w:rPr>
        <w:t>25</w:t>
      </w:r>
      <w:r w:rsidRPr="00855D69">
        <w:rPr>
          <w:lang w:val="en-GB"/>
        </w:rPr>
        <w:t xml:space="preserve"> multi-format events attended by </w:t>
      </w:r>
      <w:r w:rsidRPr="00330651">
        <w:rPr>
          <w:b/>
          <w:bCs/>
          <w:lang w:val="en-GB"/>
        </w:rPr>
        <w:t xml:space="preserve">250 </w:t>
      </w:r>
      <w:r w:rsidRPr="00855D69">
        <w:rPr>
          <w:lang w:val="en-GB"/>
        </w:rPr>
        <w:t xml:space="preserve">leading speakers and opinion leaders from the tourism and hospitality industry. Government and </w:t>
      </w:r>
      <w:r w:rsidRPr="00855D69">
        <w:rPr>
          <w:lang w:val="en-GB"/>
        </w:rPr>
        <w:lastRenderedPageBreak/>
        <w:t xml:space="preserve">business representatives met to discuss the issues and prospects facing the </w:t>
      </w:r>
      <w:r w:rsidRPr="00981D81">
        <w:rPr>
          <w:lang w:val="en-GB"/>
        </w:rPr>
        <w:t xml:space="preserve">industry. </w:t>
      </w:r>
      <w:r w:rsidR="00330651" w:rsidRPr="00981D81">
        <w:rPr>
          <w:b/>
          <w:bCs/>
          <w:color w:val="0D0D0D" w:themeColor="text1" w:themeTint="F2"/>
          <w:lang w:val="en-US"/>
        </w:rPr>
        <w:t>3 748</w:t>
      </w:r>
      <w:r w:rsidR="00330651" w:rsidRPr="00981D81">
        <w:rPr>
          <w:color w:val="0D0D0D" w:themeColor="text1" w:themeTint="F2"/>
          <w:lang w:val="en-US"/>
        </w:rPr>
        <w:t xml:space="preserve"> </w:t>
      </w:r>
      <w:r w:rsidR="00330651" w:rsidRPr="00981D81">
        <w:rPr>
          <w:color w:val="0D0D0D" w:themeColor="text1" w:themeTint="F2"/>
          <w:lang w:val="en-GB"/>
        </w:rPr>
        <w:t>unique</w:t>
      </w:r>
      <w:r w:rsidR="00330651" w:rsidRPr="00981D81">
        <w:rPr>
          <w:color w:val="0D0D0D" w:themeColor="text1" w:themeTint="F2"/>
          <w:lang w:val="en-US"/>
        </w:rPr>
        <w:t xml:space="preserve"> </w:t>
      </w:r>
      <w:r w:rsidR="00330651" w:rsidRPr="00981D81">
        <w:rPr>
          <w:color w:val="0D0D0D" w:themeColor="text1" w:themeTint="F2"/>
          <w:lang w:val="en-GB"/>
        </w:rPr>
        <w:t>visitors</w:t>
      </w:r>
      <w:r w:rsidR="00330651" w:rsidRPr="00981D81">
        <w:rPr>
          <w:color w:val="0D0D0D" w:themeColor="text1" w:themeTint="F2"/>
          <w:lang w:val="en-US"/>
        </w:rPr>
        <w:t xml:space="preserve"> (+3% to 2023) attended business programme events.</w:t>
      </w:r>
    </w:p>
    <w:p w14:paraId="7DC11929" w14:textId="70A02F08" w:rsidR="008A623D" w:rsidRPr="00855D69" w:rsidRDefault="008179A7" w:rsidP="008179A7">
      <w:pPr>
        <w:jc w:val="both"/>
        <w:rPr>
          <w:lang w:val="en-GB"/>
        </w:rPr>
      </w:pPr>
      <w:r w:rsidRPr="00855D69">
        <w:rPr>
          <w:lang w:val="en-GB"/>
        </w:rPr>
        <w:t xml:space="preserve">The key event of the MITT 2024 conference programme was the </w:t>
      </w:r>
      <w:r w:rsidRPr="00855D69">
        <w:rPr>
          <w:b/>
          <w:bCs/>
          <w:lang w:val="en-GB"/>
        </w:rPr>
        <w:t>IV Tourism and Hospitality Industry Leaders Forum</w:t>
      </w:r>
      <w:r w:rsidRPr="00855D69">
        <w:rPr>
          <w:lang w:val="en-GB"/>
        </w:rPr>
        <w:t>. The discussion focused on the trends that will shape the industry in the future. The forum was co-organised by the Association of Health Tourism and Corporate Health, the Nationwide Association of Motor Tourism and Caravanning, the Glamping Association and others.</w:t>
      </w:r>
    </w:p>
    <w:p w14:paraId="19E6E802" w14:textId="77777777" w:rsidR="008179A7" w:rsidRPr="00855D69" w:rsidRDefault="008179A7" w:rsidP="008179A7">
      <w:pPr>
        <w:jc w:val="both"/>
        <w:rPr>
          <w:lang w:val="en-GB"/>
        </w:rPr>
      </w:pPr>
    </w:p>
    <w:p w14:paraId="394A3D36" w14:textId="25B076B0" w:rsidR="008A623D" w:rsidRPr="00855D69" w:rsidRDefault="003F3A1E">
      <w:pPr>
        <w:jc w:val="both"/>
        <w:rPr>
          <w:lang w:val="en-GB"/>
        </w:rPr>
      </w:pPr>
      <w:r w:rsidRPr="00855D69">
        <w:rPr>
          <w:lang w:val="en-GB"/>
        </w:rPr>
        <w:t>During the trend session "Tourism 2024: Industry Development Trends and Seasonal Prospects through the Eyes of Leaders", representatives of the top management of major tour operators and travel agency networks: Anex Tour, Fun&amp;Sun, ICS Travel, Sletat.ru, etc. shared their forecasts for the season with MITT participants. The event was organised by the Russian Union of Travel Industry.</w:t>
      </w:r>
    </w:p>
    <w:p w14:paraId="133E78DE" w14:textId="2CFA1BE9" w:rsidR="00871B66" w:rsidRDefault="00927C93" w:rsidP="005C7405">
      <w:pPr>
        <w:spacing w:before="240" w:after="240"/>
        <w:jc w:val="both"/>
        <w:rPr>
          <w:lang w:val="en-GB"/>
        </w:rPr>
      </w:pPr>
      <w:r w:rsidRPr="00172036">
        <w:rPr>
          <w:lang w:val="en-GB"/>
        </w:rPr>
        <w:t xml:space="preserve">One of the most noteworthy events of the exhibition was the federal conference "Sustainable Development Strategy in an Unstable World: Tourism and Hospitality". The event brought together representatives of 15 specialised committees and 5 online participants, including the Russian Geographical Society, which is directly involved in the development of a tourism sustainability ranking. </w:t>
      </w:r>
    </w:p>
    <w:p w14:paraId="4D5D89CD" w14:textId="77777777" w:rsidR="00560C64" w:rsidRPr="00855D69" w:rsidRDefault="002D1E0A">
      <w:pPr>
        <w:jc w:val="both"/>
        <w:rPr>
          <w:b/>
          <w:lang w:val="en-GB"/>
        </w:rPr>
      </w:pPr>
      <w:r w:rsidRPr="00855D69">
        <w:rPr>
          <w:b/>
          <w:lang w:val="en-GB"/>
        </w:rPr>
        <w:t>New solutions and integrations at MITT 2024</w:t>
      </w:r>
    </w:p>
    <w:p w14:paraId="7A28F733" w14:textId="77777777" w:rsidR="008A623D" w:rsidRPr="00855D69" w:rsidRDefault="008A623D">
      <w:pPr>
        <w:jc w:val="both"/>
        <w:rPr>
          <w:lang w:val="en-GB"/>
        </w:rPr>
      </w:pPr>
    </w:p>
    <w:p w14:paraId="75E1C08D" w14:textId="24FB8C99" w:rsidR="001C183F" w:rsidRDefault="0043048C">
      <w:pPr>
        <w:jc w:val="both"/>
        <w:rPr>
          <w:lang w:val="en-GB"/>
        </w:rPr>
      </w:pPr>
      <w:r w:rsidRPr="0043048C">
        <w:rPr>
          <w:lang w:val="en-GB"/>
        </w:rPr>
        <w:t>Exhibitors at MITT 2024 are not only keeping a close eye on the market outlook, they are also making quick decisions on integration.</w:t>
      </w:r>
    </w:p>
    <w:p w14:paraId="76DA2210" w14:textId="77777777" w:rsidR="0043048C" w:rsidRPr="00855D69" w:rsidRDefault="0043048C">
      <w:pPr>
        <w:jc w:val="both"/>
        <w:rPr>
          <w:lang w:val="en-GB"/>
        </w:rPr>
      </w:pPr>
    </w:p>
    <w:p w14:paraId="6B4C4835" w14:textId="4446D4D3" w:rsidR="001C183F" w:rsidRPr="001B1538" w:rsidRDefault="001B1538">
      <w:pPr>
        <w:jc w:val="both"/>
        <w:rPr>
          <w:lang w:val="en-GB"/>
        </w:rPr>
      </w:pPr>
      <w:r w:rsidRPr="001B1538">
        <w:rPr>
          <w:b/>
          <w:bCs/>
          <w:lang w:val="en-GB"/>
        </w:rPr>
        <w:t xml:space="preserve">The new MITT "Mobile Homes" section </w:t>
      </w:r>
      <w:r w:rsidRPr="001B1538">
        <w:rPr>
          <w:lang w:val="en-GB"/>
        </w:rPr>
        <w:t>brought together capsule, modular and glamping manufacturers on an area of over 600 m2.  Its participants - ULYSSE GROUP, NEW AGE CAMPING, SCAD Tech, KONAKOVO, SPACE CABIN, CUPOL 365, MODOM - presented their ready-made solutions, and visitors were able to imagine themselves living in such a mobile home.</w:t>
      </w:r>
    </w:p>
    <w:p w14:paraId="4D790056" w14:textId="77777777" w:rsidR="001B1538" w:rsidRPr="00855D69" w:rsidRDefault="001B1538">
      <w:pPr>
        <w:jc w:val="both"/>
        <w:rPr>
          <w:lang w:val="en-GB"/>
        </w:rPr>
      </w:pPr>
    </w:p>
    <w:p w14:paraId="4A9240C6" w14:textId="49B2BE4B" w:rsidR="004F3F59" w:rsidRPr="004900D8" w:rsidRDefault="004F3F59" w:rsidP="001C183F">
      <w:pPr>
        <w:jc w:val="both"/>
        <w:rPr>
          <w:lang w:val="en-GB"/>
        </w:rPr>
      </w:pPr>
      <w:r w:rsidRPr="004F3F59">
        <w:rPr>
          <w:b/>
          <w:bCs/>
          <w:lang w:val="en-GB"/>
        </w:rPr>
        <w:t xml:space="preserve">GC "Modern Transport Technologies" </w:t>
      </w:r>
      <w:r w:rsidRPr="004F3F59">
        <w:rPr>
          <w:lang w:val="en-GB"/>
        </w:rPr>
        <w:t>presented vehicles designed to solve a wide range of tourist tasks: minibuses "Sobol NN" and "Gazelle e-NN", as well as a motorhome on the basis of "Gazelle NN", suitable both for road travel and for organising excursions. The centrepiece of the exhibition was the caravanning stand, which was supported by the All-</w:t>
      </w:r>
      <w:r w:rsidRPr="004900D8">
        <w:rPr>
          <w:lang w:val="en-GB"/>
        </w:rPr>
        <w:t>Russian Association of Motor Tourism and Caravanning.  The largest Russian commercial and passenger vehicle dealer is betting on a promising form of tourism, which has great potential given the length of domestic routes.</w:t>
      </w:r>
    </w:p>
    <w:p w14:paraId="75240897" w14:textId="33D79D70" w:rsidR="00560C64" w:rsidRPr="00981D81" w:rsidRDefault="00BB2A99">
      <w:pPr>
        <w:spacing w:before="240" w:after="240"/>
        <w:rPr>
          <w:b/>
          <w:bCs/>
          <w:lang w:val="en-US"/>
        </w:rPr>
      </w:pPr>
      <w:r w:rsidRPr="00981D81">
        <w:rPr>
          <w:b/>
          <w:bCs/>
          <w:lang w:val="en-US"/>
        </w:rPr>
        <w:t>Leadscanning</w:t>
      </w:r>
    </w:p>
    <w:p w14:paraId="71DC2736" w14:textId="333606AA" w:rsidR="00BB2A99" w:rsidRPr="00981D81" w:rsidRDefault="004900D8">
      <w:pPr>
        <w:spacing w:before="240" w:after="240"/>
        <w:rPr>
          <w:lang w:val="en-US"/>
        </w:rPr>
      </w:pPr>
      <w:r w:rsidRPr="00981D81">
        <w:rPr>
          <w:lang w:val="en-US"/>
        </w:rPr>
        <w:lastRenderedPageBreak/>
        <w:t xml:space="preserve">Leadscanning – is a new feature of </w:t>
      </w:r>
      <w:r w:rsidRPr="00981D81">
        <w:rPr>
          <w:b/>
          <w:bCs/>
          <w:lang w:val="en-US"/>
        </w:rPr>
        <w:t>MITT Connect business application.</w:t>
      </w:r>
      <w:r w:rsidRPr="00981D81">
        <w:rPr>
          <w:lang w:val="en-US"/>
        </w:rPr>
        <w:t xml:space="preserve"> </w:t>
      </w:r>
      <w:r w:rsidR="00517C2F" w:rsidRPr="00981D81">
        <w:rPr>
          <w:lang w:val="en-US"/>
        </w:rPr>
        <w:t>Exhibitiors and visitors</w:t>
      </w:r>
      <w:r w:rsidRPr="00981D81">
        <w:rPr>
          <w:lang w:val="en-US"/>
        </w:rPr>
        <w:t xml:space="preserve"> can download the app</w:t>
      </w:r>
      <w:r w:rsidR="00981D81">
        <w:rPr>
          <w:lang w:val="en-US"/>
        </w:rPr>
        <w:t xml:space="preserve"> </w:t>
      </w:r>
      <w:r w:rsidRPr="00981D81">
        <w:rPr>
          <w:lang w:val="en-US"/>
        </w:rPr>
        <w:t xml:space="preserve">then log in and start scanning badges of other </w:t>
      </w:r>
      <w:r w:rsidR="00517C2F" w:rsidRPr="00981D81">
        <w:rPr>
          <w:lang w:val="en-US"/>
        </w:rPr>
        <w:t>exhibitors and visitors</w:t>
      </w:r>
      <w:r w:rsidRPr="00981D81">
        <w:rPr>
          <w:lang w:val="en-US"/>
        </w:rPr>
        <w:t xml:space="preserve">. </w:t>
      </w:r>
      <w:r w:rsidR="00517C2F" w:rsidRPr="00981D81">
        <w:rPr>
          <w:lang w:val="en-US"/>
        </w:rPr>
        <w:t>They</w:t>
      </w:r>
      <w:r w:rsidRPr="00981D81">
        <w:rPr>
          <w:lang w:val="en-US"/>
        </w:rPr>
        <w:t xml:space="preserve"> will see the contact information </w:t>
      </w:r>
      <w:r w:rsidR="00517C2F" w:rsidRPr="00981D81">
        <w:rPr>
          <w:lang w:val="en-US"/>
        </w:rPr>
        <w:t xml:space="preserve">and </w:t>
      </w:r>
      <w:r w:rsidRPr="00981D81">
        <w:rPr>
          <w:lang w:val="en-US"/>
        </w:rPr>
        <w:t xml:space="preserve">can later download all contact info and notes from </w:t>
      </w:r>
      <w:r w:rsidR="00981D81" w:rsidRPr="00981D81">
        <w:rPr>
          <w:lang w:val="en-US"/>
        </w:rPr>
        <w:t>an</w:t>
      </w:r>
      <w:r w:rsidRPr="00981D81">
        <w:rPr>
          <w:lang w:val="en-US"/>
        </w:rPr>
        <w:t xml:space="preserve"> event's ticketing website</w:t>
      </w:r>
      <w:r w:rsidR="00517C2F" w:rsidRPr="00981D81">
        <w:rPr>
          <w:lang w:val="en-US"/>
        </w:rPr>
        <w:t>.</w:t>
      </w:r>
    </w:p>
    <w:p w14:paraId="5F43E75C" w14:textId="6188F42E" w:rsidR="00134901" w:rsidRPr="00C948C0" w:rsidRDefault="00E24CEC" w:rsidP="00134901">
      <w:pPr>
        <w:spacing w:before="240" w:after="240"/>
        <w:rPr>
          <w:lang w:val="en-US"/>
        </w:rPr>
      </w:pPr>
      <w:r w:rsidRPr="00E24CEC">
        <w:rPr>
          <w:lang w:val="en-US"/>
        </w:rPr>
        <w:t>During the show</w:t>
      </w:r>
      <w:r>
        <w:rPr>
          <w:b/>
          <w:bCs/>
          <w:lang w:val="en-US"/>
        </w:rPr>
        <w:t xml:space="preserve"> </w:t>
      </w:r>
      <w:r w:rsidR="00605E6D" w:rsidRPr="00605E6D">
        <w:rPr>
          <w:b/>
          <w:bCs/>
          <w:lang w:val="en-US"/>
        </w:rPr>
        <w:t>6</w:t>
      </w:r>
      <w:r w:rsidR="00726974" w:rsidRPr="00981D81">
        <w:rPr>
          <w:b/>
          <w:bCs/>
          <w:lang w:val="en-US"/>
        </w:rPr>
        <w:t xml:space="preserve"> </w:t>
      </w:r>
      <w:r w:rsidR="00605E6D" w:rsidRPr="00605E6D">
        <w:rPr>
          <w:b/>
          <w:bCs/>
          <w:lang w:val="en-US"/>
        </w:rPr>
        <w:t>124</w:t>
      </w:r>
      <w:r w:rsidR="00726974" w:rsidRPr="00981D81">
        <w:rPr>
          <w:lang w:val="en-US"/>
        </w:rPr>
        <w:t xml:space="preserve"> </w:t>
      </w:r>
      <w:r w:rsidR="0080281E">
        <w:rPr>
          <w:lang w:val="en-US"/>
        </w:rPr>
        <w:t xml:space="preserve">people </w:t>
      </w:r>
      <w:r w:rsidR="000C002D">
        <w:rPr>
          <w:lang w:val="en-US"/>
        </w:rPr>
        <w:t>used the leadscanning service</w:t>
      </w:r>
      <w:r w:rsidR="00C948C0">
        <w:rPr>
          <w:lang w:val="en-US"/>
        </w:rPr>
        <w:t xml:space="preserve">. </w:t>
      </w:r>
    </w:p>
    <w:p w14:paraId="20524779" w14:textId="7F18174C" w:rsidR="00560C64" w:rsidRPr="00855D69" w:rsidRDefault="002D1E0A">
      <w:pPr>
        <w:spacing w:before="240" w:after="240"/>
        <w:rPr>
          <w:lang w:val="en-GB"/>
        </w:rPr>
      </w:pPr>
      <w:r w:rsidRPr="00855D69">
        <w:rPr>
          <w:b/>
          <w:lang w:val="en-GB"/>
        </w:rPr>
        <w:t>MITT 2024 Awards Ceremony</w:t>
      </w:r>
    </w:p>
    <w:p w14:paraId="3E7AB8D9" w14:textId="19F59ECF" w:rsidR="008A623D" w:rsidRDefault="002D1E0A">
      <w:pPr>
        <w:jc w:val="both"/>
        <w:rPr>
          <w:lang w:val="en-GB"/>
        </w:rPr>
      </w:pPr>
      <w:r w:rsidRPr="002D1E0A">
        <w:rPr>
          <w:lang w:val="en-GB"/>
        </w:rPr>
        <w:t>The key event of the final day of MITT 2024 was the Exhibitor Awards Ceremony held in the Grand Arena on 21 March.</w:t>
      </w:r>
    </w:p>
    <w:p w14:paraId="113C3FFF" w14:textId="77777777" w:rsidR="002D1E0A" w:rsidRPr="00855D69" w:rsidRDefault="002D1E0A">
      <w:pPr>
        <w:jc w:val="both"/>
        <w:rPr>
          <w:lang w:val="en-GB"/>
        </w:rPr>
      </w:pPr>
    </w:p>
    <w:p w14:paraId="21CB2A4C" w14:textId="77777777" w:rsidR="00560C64" w:rsidRPr="00855D69" w:rsidRDefault="002D1E0A">
      <w:pPr>
        <w:jc w:val="both"/>
        <w:rPr>
          <w:b/>
          <w:lang w:val="en-GB"/>
        </w:rPr>
      </w:pPr>
      <w:r w:rsidRPr="00855D69">
        <w:rPr>
          <w:b/>
          <w:lang w:val="en-GB"/>
        </w:rPr>
        <w:t>Ceremony Nominations:</w:t>
      </w:r>
    </w:p>
    <w:p w14:paraId="28662389" w14:textId="77777777" w:rsidR="008A623D" w:rsidRPr="00855D69" w:rsidRDefault="008A623D">
      <w:pPr>
        <w:rPr>
          <w:lang w:val="en-GB"/>
        </w:rPr>
      </w:pPr>
    </w:p>
    <w:p w14:paraId="0A227CD4" w14:textId="6BAF0760" w:rsidR="00560C64" w:rsidRPr="00855D69" w:rsidRDefault="002D1E0A">
      <w:pPr>
        <w:numPr>
          <w:ilvl w:val="0"/>
          <w:numId w:val="3"/>
        </w:numPr>
        <w:rPr>
          <w:lang w:val="en-GB"/>
        </w:rPr>
      </w:pPr>
      <w:r w:rsidRPr="00855D69">
        <w:rPr>
          <w:lang w:val="en-GB"/>
        </w:rPr>
        <w:t xml:space="preserve">Best collective stand </w:t>
      </w:r>
      <w:r w:rsidR="00F608A1" w:rsidRPr="00C75409">
        <w:rPr>
          <w:lang w:val="en-US"/>
        </w:rPr>
        <w:t>—</w:t>
      </w:r>
      <w:r w:rsidRPr="00855D69">
        <w:rPr>
          <w:color w:val="1F1F1F"/>
          <w:sz w:val="21"/>
          <w:szCs w:val="21"/>
          <w:highlight w:val="white"/>
          <w:lang w:val="en-GB"/>
        </w:rPr>
        <w:t xml:space="preserve"> </w:t>
      </w:r>
      <w:r w:rsidRPr="00D85BB4">
        <w:rPr>
          <w:b/>
          <w:bCs/>
          <w:lang w:val="en-GB"/>
        </w:rPr>
        <w:t>Cuba</w:t>
      </w:r>
    </w:p>
    <w:p w14:paraId="681B94F9" w14:textId="130395AA" w:rsidR="00560C64" w:rsidRPr="005F2EA8" w:rsidRDefault="00E73075">
      <w:pPr>
        <w:numPr>
          <w:ilvl w:val="0"/>
          <w:numId w:val="3"/>
        </w:numPr>
        <w:rPr>
          <w:lang w:val="en-GB"/>
        </w:rPr>
      </w:pPr>
      <w:r w:rsidRPr="005F2EA8">
        <w:rPr>
          <w:lang w:val="en-GB"/>
        </w:rPr>
        <w:t xml:space="preserve">For loyalty, faithfulness and longstanding </w:t>
      </w:r>
      <w:r w:rsidR="00DD4159" w:rsidRPr="005F2EA8">
        <w:rPr>
          <w:lang w:val="en-GB"/>
        </w:rPr>
        <w:t>exhibiting —</w:t>
      </w:r>
      <w:r w:rsidR="002D1E0A" w:rsidRPr="005F2EA8">
        <w:rPr>
          <w:color w:val="1F1F1F"/>
          <w:sz w:val="21"/>
          <w:szCs w:val="21"/>
          <w:lang w:val="en-GB"/>
        </w:rPr>
        <w:t xml:space="preserve"> </w:t>
      </w:r>
      <w:r w:rsidR="002D1E0A" w:rsidRPr="005F2EA8">
        <w:rPr>
          <w:b/>
          <w:bCs/>
          <w:lang w:val="en-GB"/>
        </w:rPr>
        <w:t>Uzbekistan</w:t>
      </w:r>
    </w:p>
    <w:p w14:paraId="052F0AFF" w14:textId="2DB96EDC" w:rsidR="00560C64" w:rsidRPr="005F2EA8" w:rsidRDefault="0037213D">
      <w:pPr>
        <w:numPr>
          <w:ilvl w:val="0"/>
          <w:numId w:val="3"/>
        </w:numPr>
        <w:rPr>
          <w:lang w:val="en-GB"/>
        </w:rPr>
      </w:pPr>
      <w:r w:rsidRPr="005F2EA8">
        <w:rPr>
          <w:lang w:val="en-GB"/>
        </w:rPr>
        <w:t>Outstanding</w:t>
      </w:r>
      <w:r w:rsidR="002D1E0A" w:rsidRPr="005F2EA8">
        <w:rPr>
          <w:lang w:val="en-GB"/>
        </w:rPr>
        <w:t xml:space="preserve"> </w:t>
      </w:r>
      <w:r w:rsidRPr="005F2EA8">
        <w:rPr>
          <w:lang w:val="en-GB"/>
        </w:rPr>
        <w:t>c</w:t>
      </w:r>
      <w:r w:rsidR="002D1E0A" w:rsidRPr="005F2EA8">
        <w:rPr>
          <w:lang w:val="en-GB"/>
        </w:rPr>
        <w:t xml:space="preserve">ountry </w:t>
      </w:r>
      <w:r w:rsidRPr="005F2EA8">
        <w:rPr>
          <w:lang w:val="en-GB"/>
        </w:rPr>
        <w:t>p</w:t>
      </w:r>
      <w:r w:rsidR="002D1E0A" w:rsidRPr="005F2EA8">
        <w:rPr>
          <w:lang w:val="en-GB"/>
        </w:rPr>
        <w:t xml:space="preserve">resentation </w:t>
      </w:r>
      <w:r w:rsidR="00F608A1" w:rsidRPr="005F2EA8">
        <w:rPr>
          <w:lang w:val="en-US"/>
        </w:rPr>
        <w:t>—</w:t>
      </w:r>
      <w:r w:rsidR="002D1E0A" w:rsidRPr="005F2EA8">
        <w:rPr>
          <w:color w:val="1F1F1F"/>
          <w:sz w:val="21"/>
          <w:szCs w:val="21"/>
          <w:lang w:val="en-GB"/>
        </w:rPr>
        <w:t xml:space="preserve"> </w:t>
      </w:r>
      <w:r w:rsidRPr="005F2EA8">
        <w:rPr>
          <w:b/>
          <w:bCs/>
          <w:lang w:val="en-GB"/>
        </w:rPr>
        <w:t>Türkiye</w:t>
      </w:r>
    </w:p>
    <w:p w14:paraId="78C599BF" w14:textId="5C9193A6" w:rsidR="00560C64" w:rsidRPr="005F2EA8" w:rsidRDefault="002D1E0A">
      <w:pPr>
        <w:numPr>
          <w:ilvl w:val="0"/>
          <w:numId w:val="3"/>
        </w:numPr>
        <w:rPr>
          <w:lang w:val="en-GB"/>
        </w:rPr>
      </w:pPr>
      <w:r w:rsidRPr="005F2EA8">
        <w:rPr>
          <w:lang w:val="en-GB"/>
        </w:rPr>
        <w:t xml:space="preserve">The most </w:t>
      </w:r>
      <w:r w:rsidR="002C6DD2" w:rsidRPr="005F2EA8">
        <w:rPr>
          <w:lang w:val="en-GB"/>
        </w:rPr>
        <w:t>welcoming</w:t>
      </w:r>
      <w:r w:rsidRPr="005F2EA8">
        <w:rPr>
          <w:lang w:val="en-GB"/>
        </w:rPr>
        <w:t xml:space="preserve"> stand </w:t>
      </w:r>
      <w:r w:rsidR="00F608A1" w:rsidRPr="005F2EA8">
        <w:rPr>
          <w:lang w:val="en-US"/>
        </w:rPr>
        <w:t>—</w:t>
      </w:r>
      <w:r w:rsidRPr="005F2EA8">
        <w:rPr>
          <w:color w:val="1F1F1F"/>
          <w:sz w:val="21"/>
          <w:szCs w:val="21"/>
          <w:lang w:val="en-GB"/>
        </w:rPr>
        <w:t xml:space="preserve"> </w:t>
      </w:r>
      <w:r w:rsidRPr="005F2EA8">
        <w:rPr>
          <w:b/>
          <w:bCs/>
          <w:lang w:val="en-GB"/>
        </w:rPr>
        <w:t>India</w:t>
      </w:r>
      <w:r w:rsidR="0037213D" w:rsidRPr="005F2EA8">
        <w:rPr>
          <w:lang w:val="en-GB"/>
        </w:rPr>
        <w:t xml:space="preserve"> (</w:t>
      </w:r>
      <w:r w:rsidRPr="005F2EA8">
        <w:rPr>
          <w:lang w:val="en-GB"/>
        </w:rPr>
        <w:t>Partner</w:t>
      </w:r>
      <w:r w:rsidR="0037213D" w:rsidRPr="005F2EA8">
        <w:rPr>
          <w:lang w:val="en-GB"/>
        </w:rPr>
        <w:t>-</w:t>
      </w:r>
      <w:r w:rsidRPr="005F2EA8">
        <w:rPr>
          <w:lang w:val="en-GB"/>
        </w:rPr>
        <w:t>country of MITT 2024</w:t>
      </w:r>
      <w:r w:rsidR="0037213D" w:rsidRPr="005F2EA8">
        <w:rPr>
          <w:lang w:val="en-GB"/>
        </w:rPr>
        <w:t>)</w:t>
      </w:r>
    </w:p>
    <w:p w14:paraId="4FA82EAB" w14:textId="4C7E370B" w:rsidR="00560C64" w:rsidRPr="005F2EA8" w:rsidRDefault="002D1E0A">
      <w:pPr>
        <w:numPr>
          <w:ilvl w:val="0"/>
          <w:numId w:val="3"/>
        </w:numPr>
        <w:rPr>
          <w:lang w:val="en-GB"/>
        </w:rPr>
      </w:pPr>
      <w:r w:rsidRPr="005F2EA8">
        <w:rPr>
          <w:b/>
          <w:bCs/>
          <w:lang w:val="en-GB"/>
        </w:rPr>
        <w:t>Abu Dhabi</w:t>
      </w:r>
      <w:r w:rsidRPr="005F2EA8">
        <w:rPr>
          <w:lang w:val="en-GB"/>
        </w:rPr>
        <w:t xml:space="preserve"> </w:t>
      </w:r>
      <w:r w:rsidRPr="005F2EA8">
        <w:rPr>
          <w:color w:val="1F1F1F"/>
          <w:sz w:val="21"/>
          <w:szCs w:val="21"/>
          <w:lang w:val="en-GB"/>
        </w:rPr>
        <w:t xml:space="preserve">is the </w:t>
      </w:r>
      <w:r w:rsidRPr="005F2EA8">
        <w:rPr>
          <w:lang w:val="en-GB"/>
        </w:rPr>
        <w:t>most striking debut in the exhibition's exposition</w:t>
      </w:r>
      <w:r w:rsidR="0037213D" w:rsidRPr="005F2EA8">
        <w:rPr>
          <w:lang w:val="en-GB"/>
        </w:rPr>
        <w:t>.</w:t>
      </w:r>
    </w:p>
    <w:p w14:paraId="021340C0" w14:textId="1885B26C" w:rsidR="00560C64" w:rsidRPr="005F2EA8" w:rsidRDefault="00026136">
      <w:pPr>
        <w:numPr>
          <w:ilvl w:val="0"/>
          <w:numId w:val="3"/>
        </w:numPr>
        <w:rPr>
          <w:lang w:val="en-GB"/>
        </w:rPr>
      </w:pPr>
      <w:r w:rsidRPr="005F2EA8">
        <w:rPr>
          <w:lang w:val="en-GB"/>
        </w:rPr>
        <w:t xml:space="preserve">For longstanding cooperation </w:t>
      </w:r>
      <w:r w:rsidR="00F608A1" w:rsidRPr="005F2EA8">
        <w:rPr>
          <w:lang w:val="en-US"/>
        </w:rPr>
        <w:t>—</w:t>
      </w:r>
      <w:r w:rsidR="002D1E0A" w:rsidRPr="005F2EA8">
        <w:rPr>
          <w:color w:val="1F1F1F"/>
          <w:sz w:val="21"/>
          <w:szCs w:val="21"/>
          <w:lang w:val="en-GB"/>
        </w:rPr>
        <w:t xml:space="preserve"> </w:t>
      </w:r>
      <w:r w:rsidR="002D1E0A" w:rsidRPr="005F2EA8">
        <w:rPr>
          <w:b/>
          <w:bCs/>
          <w:lang w:val="en-GB"/>
        </w:rPr>
        <w:t>Egypt</w:t>
      </w:r>
    </w:p>
    <w:p w14:paraId="37A7A512" w14:textId="0674BB59" w:rsidR="00560C64" w:rsidRPr="005F2EA8" w:rsidRDefault="00026136">
      <w:pPr>
        <w:numPr>
          <w:ilvl w:val="0"/>
          <w:numId w:val="3"/>
        </w:numPr>
        <w:rPr>
          <w:lang w:val="en-GB"/>
        </w:rPr>
      </w:pPr>
      <w:r w:rsidRPr="005F2EA8">
        <w:rPr>
          <w:lang w:val="en-GB"/>
        </w:rPr>
        <w:t>Outstanding</w:t>
      </w:r>
      <w:r w:rsidR="002D1E0A" w:rsidRPr="005F2EA8">
        <w:rPr>
          <w:lang w:val="en-GB"/>
        </w:rPr>
        <w:t xml:space="preserve"> MITT</w:t>
      </w:r>
      <w:r w:rsidRPr="005F2EA8">
        <w:rPr>
          <w:lang w:val="en-GB"/>
        </w:rPr>
        <w:t xml:space="preserve"> comeback</w:t>
      </w:r>
      <w:r w:rsidR="002D1E0A" w:rsidRPr="005F2EA8">
        <w:rPr>
          <w:lang w:val="en-GB"/>
        </w:rPr>
        <w:t xml:space="preserve"> </w:t>
      </w:r>
      <w:r w:rsidR="00F608A1" w:rsidRPr="005F2EA8">
        <w:rPr>
          <w:lang w:val="en-US"/>
        </w:rPr>
        <w:t>—</w:t>
      </w:r>
      <w:r w:rsidR="002D1E0A" w:rsidRPr="005F2EA8">
        <w:rPr>
          <w:color w:val="1F1F1F"/>
          <w:sz w:val="21"/>
          <w:szCs w:val="21"/>
          <w:lang w:val="en-GB"/>
        </w:rPr>
        <w:t xml:space="preserve"> </w:t>
      </w:r>
      <w:r w:rsidR="002D1E0A" w:rsidRPr="005F2EA8">
        <w:rPr>
          <w:b/>
          <w:bCs/>
          <w:lang w:val="en-GB"/>
        </w:rPr>
        <w:t>Jordan</w:t>
      </w:r>
    </w:p>
    <w:p w14:paraId="35747A89" w14:textId="24AE1A21" w:rsidR="00560C64" w:rsidRPr="005F2EA8" w:rsidRDefault="002D1E0A">
      <w:pPr>
        <w:numPr>
          <w:ilvl w:val="0"/>
          <w:numId w:val="3"/>
        </w:numPr>
        <w:rPr>
          <w:b/>
          <w:bCs/>
          <w:lang w:val="en-GB"/>
        </w:rPr>
      </w:pPr>
      <w:r w:rsidRPr="005F2EA8">
        <w:rPr>
          <w:lang w:val="en-GB"/>
        </w:rPr>
        <w:t xml:space="preserve">Most active stand </w:t>
      </w:r>
      <w:r w:rsidR="00F608A1" w:rsidRPr="005F2EA8">
        <w:rPr>
          <w:lang w:val="en-US"/>
        </w:rPr>
        <w:t>—</w:t>
      </w:r>
      <w:r w:rsidRPr="005F2EA8">
        <w:rPr>
          <w:color w:val="1F1F1F"/>
          <w:sz w:val="21"/>
          <w:szCs w:val="21"/>
          <w:lang w:val="en-GB"/>
        </w:rPr>
        <w:t xml:space="preserve"> </w:t>
      </w:r>
      <w:r w:rsidRPr="005F2EA8">
        <w:rPr>
          <w:b/>
          <w:bCs/>
          <w:lang w:val="en-GB"/>
        </w:rPr>
        <w:t>Republic of Tajikistan</w:t>
      </w:r>
    </w:p>
    <w:p w14:paraId="508D9FD4" w14:textId="5AF4AF66" w:rsidR="00560C64" w:rsidRPr="005F2EA8" w:rsidRDefault="002D1E0A">
      <w:pPr>
        <w:numPr>
          <w:ilvl w:val="0"/>
          <w:numId w:val="3"/>
        </w:numPr>
        <w:rPr>
          <w:lang w:val="en-GB"/>
        </w:rPr>
      </w:pPr>
      <w:r w:rsidRPr="005F2EA8">
        <w:rPr>
          <w:lang w:val="en-GB"/>
        </w:rPr>
        <w:t xml:space="preserve">The most active participant of the year </w:t>
      </w:r>
      <w:r w:rsidR="00F608A1" w:rsidRPr="005F2EA8">
        <w:rPr>
          <w:lang w:val="en-US"/>
        </w:rPr>
        <w:t>—</w:t>
      </w:r>
      <w:r w:rsidRPr="005F2EA8">
        <w:rPr>
          <w:color w:val="1F1F1F"/>
          <w:sz w:val="21"/>
          <w:szCs w:val="21"/>
          <w:lang w:val="en-GB"/>
        </w:rPr>
        <w:t xml:space="preserve"> </w:t>
      </w:r>
      <w:r w:rsidRPr="005F2EA8">
        <w:rPr>
          <w:b/>
          <w:bCs/>
          <w:lang w:val="en-GB"/>
        </w:rPr>
        <w:t>Moscow Tourism and Hospitality Development Project Office</w:t>
      </w:r>
      <w:r w:rsidR="00237CAC" w:rsidRPr="005F2EA8">
        <w:rPr>
          <w:lang w:val="en-GB"/>
        </w:rPr>
        <w:t xml:space="preserve"> (General p</w:t>
      </w:r>
      <w:r w:rsidRPr="005F2EA8">
        <w:rPr>
          <w:lang w:val="en-GB"/>
        </w:rPr>
        <w:t>artner of MITT 2024</w:t>
      </w:r>
      <w:r w:rsidR="00237CAC" w:rsidRPr="005F2EA8">
        <w:rPr>
          <w:lang w:val="en-GB"/>
        </w:rPr>
        <w:t>)</w:t>
      </w:r>
    </w:p>
    <w:p w14:paraId="64395B7C" w14:textId="6C210432" w:rsidR="00560C64" w:rsidRPr="005F2EA8" w:rsidRDefault="002D1E0A">
      <w:pPr>
        <w:numPr>
          <w:ilvl w:val="0"/>
          <w:numId w:val="6"/>
        </w:numPr>
        <w:rPr>
          <w:b/>
          <w:lang w:val="en-GB"/>
        </w:rPr>
      </w:pPr>
      <w:r w:rsidRPr="005F2EA8">
        <w:rPr>
          <w:lang w:val="en-GB"/>
        </w:rPr>
        <w:t xml:space="preserve">The most creative stand </w:t>
      </w:r>
      <w:r w:rsidR="00F608A1" w:rsidRPr="005F2EA8">
        <w:rPr>
          <w:lang w:val="en-US"/>
        </w:rPr>
        <w:t>—</w:t>
      </w:r>
      <w:r w:rsidRPr="005F2EA8">
        <w:rPr>
          <w:color w:val="1F1F1F"/>
          <w:sz w:val="21"/>
          <w:szCs w:val="21"/>
          <w:lang w:val="en-GB"/>
        </w:rPr>
        <w:t xml:space="preserve"> </w:t>
      </w:r>
      <w:r w:rsidRPr="005F2EA8">
        <w:rPr>
          <w:b/>
          <w:bCs/>
          <w:lang w:val="en-GB"/>
        </w:rPr>
        <w:t>Ta</w:t>
      </w:r>
      <w:r w:rsidR="00492A57" w:rsidRPr="005F2EA8">
        <w:rPr>
          <w:b/>
          <w:bCs/>
          <w:lang w:val="en-GB"/>
        </w:rPr>
        <w:t>i</w:t>
      </w:r>
      <w:r w:rsidRPr="005F2EA8">
        <w:rPr>
          <w:b/>
          <w:bCs/>
          <w:lang w:val="en-GB"/>
        </w:rPr>
        <w:t>m</w:t>
      </w:r>
      <w:r w:rsidR="00492A57" w:rsidRPr="005F2EA8">
        <w:rPr>
          <w:b/>
          <w:bCs/>
          <w:lang w:val="en-GB"/>
        </w:rPr>
        <w:t>y</w:t>
      </w:r>
      <w:r w:rsidRPr="005F2EA8">
        <w:rPr>
          <w:b/>
          <w:bCs/>
          <w:lang w:val="en-GB"/>
        </w:rPr>
        <w:t>r</w:t>
      </w:r>
    </w:p>
    <w:p w14:paraId="07778B3A" w14:textId="745E3FB1" w:rsidR="00560C64" w:rsidRPr="005F2EA8" w:rsidRDefault="002D1E0A">
      <w:pPr>
        <w:numPr>
          <w:ilvl w:val="0"/>
          <w:numId w:val="6"/>
        </w:numPr>
        <w:rPr>
          <w:b/>
          <w:lang w:val="en-GB"/>
        </w:rPr>
      </w:pPr>
      <w:r w:rsidRPr="005F2EA8">
        <w:rPr>
          <w:lang w:val="en-GB"/>
        </w:rPr>
        <w:t xml:space="preserve">The most hospitable stand </w:t>
      </w:r>
      <w:r w:rsidR="00F608A1" w:rsidRPr="005F2EA8">
        <w:rPr>
          <w:lang w:val="en-US"/>
        </w:rPr>
        <w:t>—</w:t>
      </w:r>
      <w:r w:rsidRPr="005F2EA8">
        <w:rPr>
          <w:b/>
          <w:bCs/>
          <w:color w:val="1F1F1F"/>
          <w:sz w:val="21"/>
          <w:szCs w:val="21"/>
          <w:lang w:val="en-GB"/>
        </w:rPr>
        <w:t xml:space="preserve"> </w:t>
      </w:r>
      <w:r w:rsidRPr="005F2EA8">
        <w:rPr>
          <w:b/>
          <w:bCs/>
          <w:lang w:val="en-GB"/>
        </w:rPr>
        <w:t>Republic of Dagestan</w:t>
      </w:r>
      <w:r w:rsidR="00492A57" w:rsidRPr="005F2EA8">
        <w:rPr>
          <w:b/>
          <w:bCs/>
          <w:lang w:val="en-GB"/>
        </w:rPr>
        <w:t xml:space="preserve"> </w:t>
      </w:r>
      <w:r w:rsidR="00492A57" w:rsidRPr="005F2EA8">
        <w:rPr>
          <w:lang w:val="en-GB"/>
        </w:rPr>
        <w:t>(Strategic partner of MITT 2024)</w:t>
      </w:r>
    </w:p>
    <w:p w14:paraId="1024E81F" w14:textId="10132E87" w:rsidR="00560C64" w:rsidRPr="005F2EA8" w:rsidRDefault="002D1E0A">
      <w:pPr>
        <w:numPr>
          <w:ilvl w:val="0"/>
          <w:numId w:val="6"/>
        </w:numPr>
        <w:rPr>
          <w:b/>
          <w:lang w:val="en-GB"/>
        </w:rPr>
      </w:pPr>
      <w:r w:rsidRPr="005F2EA8">
        <w:rPr>
          <w:lang w:val="en-GB"/>
        </w:rPr>
        <w:t xml:space="preserve">Best Representation of a Russian Region </w:t>
      </w:r>
      <w:r w:rsidR="00492A57" w:rsidRPr="005F2EA8">
        <w:rPr>
          <w:color w:val="1F1F1F"/>
          <w:sz w:val="21"/>
          <w:szCs w:val="21"/>
          <w:lang w:val="en-GB"/>
        </w:rPr>
        <w:t>–</w:t>
      </w:r>
      <w:r w:rsidRPr="005F2EA8">
        <w:rPr>
          <w:color w:val="1F1F1F"/>
          <w:sz w:val="21"/>
          <w:szCs w:val="21"/>
          <w:lang w:val="en-GB"/>
        </w:rPr>
        <w:t xml:space="preserve"> </w:t>
      </w:r>
      <w:r w:rsidRPr="005F2EA8">
        <w:rPr>
          <w:b/>
          <w:bCs/>
          <w:lang w:val="en-GB"/>
        </w:rPr>
        <w:t>Sama</w:t>
      </w:r>
      <w:r w:rsidR="00492A57" w:rsidRPr="005F2EA8">
        <w:rPr>
          <w:b/>
          <w:bCs/>
          <w:lang w:val="en-GB"/>
        </w:rPr>
        <w:t>ra region</w:t>
      </w:r>
      <w:r w:rsidRPr="005F2EA8">
        <w:rPr>
          <w:lang w:val="en-GB"/>
        </w:rPr>
        <w:t xml:space="preserve"> </w:t>
      </w:r>
      <w:r w:rsidR="00492A57" w:rsidRPr="005F2EA8">
        <w:rPr>
          <w:lang w:val="en-GB"/>
        </w:rPr>
        <w:t>(P</w:t>
      </w:r>
      <w:r w:rsidRPr="005F2EA8">
        <w:rPr>
          <w:lang w:val="en-GB"/>
        </w:rPr>
        <w:t>artner region</w:t>
      </w:r>
      <w:r w:rsidR="00492A57" w:rsidRPr="005F2EA8">
        <w:rPr>
          <w:lang w:val="en-GB"/>
        </w:rPr>
        <w:t xml:space="preserve"> of MITT 2024)</w:t>
      </w:r>
    </w:p>
    <w:p w14:paraId="72E99BA4" w14:textId="5A72A523" w:rsidR="00560C64" w:rsidRPr="005F2EA8" w:rsidRDefault="002D1E0A">
      <w:pPr>
        <w:numPr>
          <w:ilvl w:val="0"/>
          <w:numId w:val="6"/>
        </w:numPr>
        <w:rPr>
          <w:b/>
          <w:lang w:val="en-GB"/>
        </w:rPr>
      </w:pPr>
      <w:r w:rsidRPr="005F2EA8">
        <w:rPr>
          <w:lang w:val="en-GB"/>
        </w:rPr>
        <w:t xml:space="preserve">For long-term co-operation </w:t>
      </w:r>
      <w:r w:rsidR="00492A57" w:rsidRPr="005F2EA8">
        <w:rPr>
          <w:lang w:val="en-US"/>
        </w:rPr>
        <w:t>—</w:t>
      </w:r>
      <w:r w:rsidRPr="005F2EA8">
        <w:rPr>
          <w:color w:val="1F1F1F"/>
          <w:sz w:val="21"/>
          <w:szCs w:val="21"/>
          <w:lang w:val="en-GB"/>
        </w:rPr>
        <w:t xml:space="preserve"> </w:t>
      </w:r>
      <w:r w:rsidRPr="005F2EA8">
        <w:rPr>
          <w:b/>
          <w:bCs/>
          <w:lang w:val="en-GB"/>
        </w:rPr>
        <w:t>Republic of Crimea</w:t>
      </w:r>
    </w:p>
    <w:p w14:paraId="0704CD21" w14:textId="5B6D2187" w:rsidR="00560C64" w:rsidRPr="005F2EA8" w:rsidRDefault="002D1E0A">
      <w:pPr>
        <w:numPr>
          <w:ilvl w:val="0"/>
          <w:numId w:val="6"/>
        </w:numPr>
        <w:rPr>
          <w:b/>
          <w:lang w:val="en-GB"/>
        </w:rPr>
      </w:pPr>
      <w:r w:rsidRPr="005F2EA8">
        <w:rPr>
          <w:lang w:val="en-GB"/>
        </w:rPr>
        <w:t xml:space="preserve">The most visited stand </w:t>
      </w:r>
      <w:r w:rsidR="00492A57" w:rsidRPr="005F2EA8">
        <w:rPr>
          <w:lang w:val="en-US"/>
        </w:rPr>
        <w:t>—</w:t>
      </w:r>
      <w:r w:rsidRPr="005F2EA8">
        <w:rPr>
          <w:color w:val="1F1F1F"/>
          <w:sz w:val="21"/>
          <w:szCs w:val="21"/>
          <w:lang w:val="en-GB"/>
        </w:rPr>
        <w:t xml:space="preserve"> </w:t>
      </w:r>
      <w:r w:rsidRPr="005F2EA8">
        <w:rPr>
          <w:b/>
          <w:bCs/>
          <w:lang w:val="en-GB"/>
        </w:rPr>
        <w:t>Moscow Region</w:t>
      </w:r>
    </w:p>
    <w:p w14:paraId="5E3E29DA" w14:textId="3CDFF946" w:rsidR="00560C64" w:rsidRPr="005F2EA8" w:rsidRDefault="002D1E0A">
      <w:pPr>
        <w:numPr>
          <w:ilvl w:val="0"/>
          <w:numId w:val="6"/>
        </w:numPr>
        <w:rPr>
          <w:b/>
          <w:lang w:val="en-GB"/>
        </w:rPr>
      </w:pPr>
      <w:r w:rsidRPr="005F2EA8">
        <w:rPr>
          <w:lang w:val="en-GB"/>
        </w:rPr>
        <w:t>The most colourful stand</w:t>
      </w:r>
      <w:r w:rsidR="00492A57" w:rsidRPr="005F2EA8">
        <w:rPr>
          <w:lang w:val="en-GB"/>
        </w:rPr>
        <w:t xml:space="preserve"> </w:t>
      </w:r>
      <w:r w:rsidR="00492A57" w:rsidRPr="005F2EA8">
        <w:rPr>
          <w:lang w:val="en-US"/>
        </w:rPr>
        <w:t xml:space="preserve">— </w:t>
      </w:r>
      <w:r w:rsidRPr="005F2EA8">
        <w:rPr>
          <w:b/>
          <w:bCs/>
          <w:lang w:val="en-GB"/>
        </w:rPr>
        <w:t>Sakhalin</w:t>
      </w:r>
    </w:p>
    <w:p w14:paraId="11D8793F" w14:textId="28BDF66B" w:rsidR="00560C64" w:rsidRPr="005F2EA8" w:rsidRDefault="002D1E0A">
      <w:pPr>
        <w:numPr>
          <w:ilvl w:val="0"/>
          <w:numId w:val="6"/>
        </w:numPr>
        <w:rPr>
          <w:b/>
          <w:lang w:val="en-GB"/>
        </w:rPr>
      </w:pPr>
      <w:r w:rsidRPr="005F2EA8">
        <w:rPr>
          <w:lang w:val="en-GB"/>
        </w:rPr>
        <w:t xml:space="preserve">Best stand of the Russian region </w:t>
      </w:r>
      <w:r w:rsidR="00492A57" w:rsidRPr="005F2EA8">
        <w:rPr>
          <w:lang w:val="en-US"/>
        </w:rPr>
        <w:t>—</w:t>
      </w:r>
      <w:r w:rsidRPr="005F2EA8">
        <w:rPr>
          <w:color w:val="1F1F1F"/>
          <w:sz w:val="21"/>
          <w:szCs w:val="21"/>
          <w:lang w:val="en-GB"/>
        </w:rPr>
        <w:t xml:space="preserve"> </w:t>
      </w:r>
      <w:r w:rsidRPr="005F2EA8">
        <w:rPr>
          <w:b/>
          <w:bCs/>
          <w:lang w:val="en-GB"/>
        </w:rPr>
        <w:t>Nizhny Novgorod</w:t>
      </w:r>
    </w:p>
    <w:p w14:paraId="38B032B0" w14:textId="022647C1" w:rsidR="00560C64" w:rsidRPr="005F2EA8" w:rsidRDefault="002D1E0A">
      <w:pPr>
        <w:numPr>
          <w:ilvl w:val="0"/>
          <w:numId w:val="6"/>
        </w:numPr>
        <w:rPr>
          <w:b/>
          <w:lang w:val="en-GB"/>
        </w:rPr>
      </w:pPr>
      <w:r w:rsidRPr="005F2EA8">
        <w:rPr>
          <w:lang w:val="en-GB"/>
        </w:rPr>
        <w:t xml:space="preserve">The most technologically advanced company of the exposition </w:t>
      </w:r>
      <w:r w:rsidR="00492A57" w:rsidRPr="005F2EA8">
        <w:rPr>
          <w:lang w:val="en-US"/>
        </w:rPr>
        <w:t>—</w:t>
      </w:r>
      <w:r w:rsidRPr="005F2EA8">
        <w:rPr>
          <w:color w:val="1F1F1F"/>
          <w:sz w:val="21"/>
          <w:szCs w:val="21"/>
          <w:lang w:val="en-GB"/>
        </w:rPr>
        <w:t xml:space="preserve"> </w:t>
      </w:r>
      <w:r w:rsidRPr="005F2EA8">
        <w:rPr>
          <w:b/>
          <w:bCs/>
          <w:lang w:val="en-GB"/>
        </w:rPr>
        <w:t>T</w:t>
      </w:r>
      <w:r w:rsidR="00D85BB4" w:rsidRPr="005F2EA8">
        <w:rPr>
          <w:b/>
          <w:bCs/>
          <w:lang w:val="en-GB"/>
        </w:rPr>
        <w:t>ravelLine</w:t>
      </w:r>
      <w:r w:rsidR="00D85BB4" w:rsidRPr="005F2EA8">
        <w:rPr>
          <w:lang w:val="en-GB"/>
        </w:rPr>
        <w:t xml:space="preserve"> </w:t>
      </w:r>
      <w:r w:rsidRPr="005F2EA8">
        <w:rPr>
          <w:lang w:val="en-GB"/>
        </w:rPr>
        <w:t>Company</w:t>
      </w:r>
    </w:p>
    <w:p w14:paraId="5A956ABE" w14:textId="119B5B88" w:rsidR="00560C64" w:rsidRPr="005F2EA8" w:rsidRDefault="002D1E0A">
      <w:pPr>
        <w:numPr>
          <w:ilvl w:val="0"/>
          <w:numId w:val="6"/>
        </w:numPr>
        <w:rPr>
          <w:b/>
          <w:lang w:val="en-GB"/>
        </w:rPr>
      </w:pPr>
      <w:r w:rsidRPr="005F2EA8">
        <w:rPr>
          <w:lang w:val="en-GB"/>
        </w:rPr>
        <w:t xml:space="preserve">The most spectacular presentation of the Glamping section </w:t>
      </w:r>
      <w:r w:rsidRPr="005F2EA8">
        <w:rPr>
          <w:color w:val="1F1F1F"/>
          <w:sz w:val="21"/>
          <w:szCs w:val="21"/>
          <w:lang w:val="en-GB"/>
        </w:rPr>
        <w:t xml:space="preserve">is by </w:t>
      </w:r>
      <w:r w:rsidR="00D85BB4" w:rsidRPr="005F2EA8">
        <w:rPr>
          <w:b/>
          <w:bCs/>
          <w:lang w:val="en-GB"/>
        </w:rPr>
        <w:t>New Age Camping</w:t>
      </w:r>
      <w:r w:rsidRPr="005F2EA8">
        <w:rPr>
          <w:lang w:val="en-GB"/>
        </w:rPr>
        <w:t xml:space="preserve"> </w:t>
      </w:r>
      <w:r w:rsidR="00492A57" w:rsidRPr="005F2EA8">
        <w:rPr>
          <w:lang w:val="en-GB"/>
        </w:rPr>
        <w:t>company</w:t>
      </w:r>
    </w:p>
    <w:p w14:paraId="312CEEF0" w14:textId="110134A7" w:rsidR="00560C64" w:rsidRPr="005F2EA8" w:rsidRDefault="002D1E0A">
      <w:pPr>
        <w:numPr>
          <w:ilvl w:val="0"/>
          <w:numId w:val="6"/>
        </w:numPr>
        <w:rPr>
          <w:b/>
          <w:lang w:val="en-GB"/>
        </w:rPr>
      </w:pPr>
      <w:r w:rsidRPr="005F2EA8">
        <w:rPr>
          <w:lang w:val="en-GB"/>
        </w:rPr>
        <w:t xml:space="preserve">The most spectacular presentation of the Caravanning section </w:t>
      </w:r>
      <w:r w:rsidR="00492A57" w:rsidRPr="005F2EA8">
        <w:rPr>
          <w:lang w:val="en-US"/>
        </w:rPr>
        <w:t>—</w:t>
      </w:r>
      <w:r w:rsidRPr="005F2EA8">
        <w:rPr>
          <w:color w:val="1F1F1F"/>
          <w:sz w:val="21"/>
          <w:szCs w:val="21"/>
          <w:lang w:val="en-GB"/>
        </w:rPr>
        <w:t xml:space="preserve"> </w:t>
      </w:r>
      <w:r w:rsidRPr="005F2EA8">
        <w:rPr>
          <w:b/>
          <w:bCs/>
          <w:lang w:val="en-GB"/>
        </w:rPr>
        <w:t>Modern Transport Technologies Company</w:t>
      </w:r>
    </w:p>
    <w:p w14:paraId="23D746F4" w14:textId="37F8FEB6" w:rsidR="00560C64" w:rsidRPr="005F2EA8" w:rsidRDefault="00EB7818">
      <w:pPr>
        <w:numPr>
          <w:ilvl w:val="0"/>
          <w:numId w:val="6"/>
        </w:numPr>
        <w:rPr>
          <w:b/>
          <w:lang w:val="en-GB"/>
        </w:rPr>
      </w:pPr>
      <w:r w:rsidRPr="005F2EA8">
        <w:rPr>
          <w:lang w:val="en-US"/>
        </w:rPr>
        <w:t>“</w:t>
      </w:r>
      <w:r w:rsidR="002D1E0A" w:rsidRPr="005F2EA8">
        <w:rPr>
          <w:lang w:val="en-GB"/>
        </w:rPr>
        <w:t>Fidelity to Traditions</w:t>
      </w:r>
      <w:r w:rsidR="002D1E0A" w:rsidRPr="005F2EA8">
        <w:rPr>
          <w:color w:val="1F1F1F"/>
          <w:sz w:val="21"/>
          <w:szCs w:val="21"/>
          <w:lang w:val="en-GB"/>
        </w:rPr>
        <w:t xml:space="preserve">" </w:t>
      </w:r>
      <w:r w:rsidR="002D1E0A" w:rsidRPr="005F2EA8">
        <w:rPr>
          <w:lang w:val="en-GB"/>
        </w:rPr>
        <w:t xml:space="preserve">nomination </w:t>
      </w:r>
      <w:r w:rsidRPr="005F2EA8">
        <w:rPr>
          <w:color w:val="1F1F1F"/>
          <w:sz w:val="21"/>
          <w:szCs w:val="21"/>
          <w:lang w:val="en-GB"/>
        </w:rPr>
        <w:t>–</w:t>
      </w:r>
      <w:r w:rsidR="002D1E0A" w:rsidRPr="005F2EA8">
        <w:rPr>
          <w:color w:val="1F1F1F"/>
          <w:sz w:val="21"/>
          <w:szCs w:val="21"/>
          <w:lang w:val="en-GB"/>
        </w:rPr>
        <w:t xml:space="preserve"> </w:t>
      </w:r>
      <w:r w:rsidRPr="005F2EA8">
        <w:rPr>
          <w:b/>
          <w:bCs/>
          <w:lang w:val="en-GB"/>
        </w:rPr>
        <w:t xml:space="preserve">Touroperator </w:t>
      </w:r>
      <w:r w:rsidR="0075395F" w:rsidRPr="005F2EA8">
        <w:rPr>
          <w:b/>
          <w:bCs/>
          <w:lang w:val="en-US"/>
        </w:rPr>
        <w:t>Novgorod</w:t>
      </w:r>
      <w:r w:rsidR="00D85BB4" w:rsidRPr="005F2EA8">
        <w:rPr>
          <w:b/>
          <w:bCs/>
          <w:lang w:val="en-US"/>
        </w:rPr>
        <w:t xml:space="preserve"> Rus’</w:t>
      </w:r>
    </w:p>
    <w:p w14:paraId="14C9C959" w14:textId="77777777" w:rsidR="00560C64" w:rsidRPr="005F2EA8" w:rsidRDefault="002D1E0A">
      <w:pPr>
        <w:numPr>
          <w:ilvl w:val="0"/>
          <w:numId w:val="6"/>
        </w:numPr>
        <w:rPr>
          <w:b/>
          <w:lang w:val="en-GB"/>
        </w:rPr>
      </w:pPr>
      <w:r w:rsidRPr="005F2EA8">
        <w:rPr>
          <w:lang w:val="en-GB"/>
        </w:rPr>
        <w:t xml:space="preserve">Jubilee nomination - </w:t>
      </w:r>
      <w:r w:rsidRPr="005F2EA8">
        <w:rPr>
          <w:b/>
          <w:bCs/>
          <w:lang w:val="en-GB"/>
        </w:rPr>
        <w:t>Republic of Chuvashia</w:t>
      </w:r>
    </w:p>
    <w:p w14:paraId="5532EA41" w14:textId="77777777" w:rsidR="00041B9F" w:rsidRPr="00855D69" w:rsidRDefault="00041B9F" w:rsidP="00041B9F">
      <w:pPr>
        <w:rPr>
          <w:lang w:val="en-GB"/>
        </w:rPr>
      </w:pPr>
    </w:p>
    <w:p w14:paraId="10F47D0F" w14:textId="61BCAB8E" w:rsidR="00560C64" w:rsidRPr="00855D69" w:rsidRDefault="002D1E0A">
      <w:pPr>
        <w:spacing w:before="240" w:after="240"/>
        <w:rPr>
          <w:b/>
          <w:lang w:val="en-GB"/>
        </w:rPr>
      </w:pPr>
      <w:r w:rsidRPr="00855D69">
        <w:rPr>
          <w:b/>
          <w:lang w:val="en-GB"/>
        </w:rPr>
        <w:lastRenderedPageBreak/>
        <w:t>Partners of MITT 202</w:t>
      </w:r>
      <w:r w:rsidR="00486109">
        <w:rPr>
          <w:b/>
          <w:lang w:val="en-GB"/>
        </w:rPr>
        <w:t>4</w:t>
      </w:r>
    </w:p>
    <w:p w14:paraId="0E6E7208" w14:textId="775F98C2" w:rsidR="00560C64" w:rsidRPr="00855D69" w:rsidRDefault="002D1E0A">
      <w:pPr>
        <w:numPr>
          <w:ilvl w:val="0"/>
          <w:numId w:val="2"/>
        </w:numPr>
        <w:spacing w:before="240"/>
        <w:rPr>
          <w:b/>
          <w:lang w:val="en-GB"/>
        </w:rPr>
      </w:pPr>
      <w:r w:rsidRPr="00855D69">
        <w:rPr>
          <w:lang w:val="en-GB"/>
        </w:rPr>
        <w:t xml:space="preserve">General </w:t>
      </w:r>
      <w:r w:rsidR="005F2EA8">
        <w:rPr>
          <w:lang w:val="en-GB"/>
        </w:rPr>
        <w:t>p</w:t>
      </w:r>
      <w:r w:rsidR="00722FFE" w:rsidRPr="00855D69">
        <w:rPr>
          <w:lang w:val="en-GB"/>
        </w:rPr>
        <w:t xml:space="preserve">artner </w:t>
      </w:r>
      <w:r w:rsidR="00C4587B" w:rsidRPr="00C75409">
        <w:rPr>
          <w:lang w:val="en-US"/>
        </w:rPr>
        <w:t>—</w:t>
      </w:r>
      <w:r w:rsidRPr="00855D69">
        <w:rPr>
          <w:lang w:val="en-GB"/>
        </w:rPr>
        <w:t xml:space="preserve"> "Project Office for the Development of Tourism and Hospitality in Moscow"</w:t>
      </w:r>
    </w:p>
    <w:p w14:paraId="3E195E9E" w14:textId="0C842B63" w:rsidR="00560C64" w:rsidRPr="00855D69" w:rsidRDefault="00722FFE">
      <w:pPr>
        <w:numPr>
          <w:ilvl w:val="0"/>
          <w:numId w:val="2"/>
        </w:numPr>
        <w:rPr>
          <w:b/>
          <w:lang w:val="en-GB"/>
        </w:rPr>
      </w:pPr>
      <w:r w:rsidRPr="00855D69">
        <w:rPr>
          <w:lang w:val="en-GB"/>
        </w:rPr>
        <w:t>Partner</w:t>
      </w:r>
      <w:r w:rsidR="002D1E0A" w:rsidRPr="00855D69">
        <w:rPr>
          <w:lang w:val="en-GB"/>
        </w:rPr>
        <w:t xml:space="preserve"> country </w:t>
      </w:r>
      <w:r w:rsidR="00C4587B" w:rsidRPr="00C75409">
        <w:rPr>
          <w:lang w:val="en-US"/>
        </w:rPr>
        <w:t>—</w:t>
      </w:r>
      <w:r w:rsidR="00C4587B">
        <w:rPr>
          <w:lang w:val="en-US"/>
        </w:rPr>
        <w:t xml:space="preserve"> </w:t>
      </w:r>
      <w:r w:rsidR="002D1E0A" w:rsidRPr="00855D69">
        <w:rPr>
          <w:lang w:val="en-GB"/>
        </w:rPr>
        <w:t>India</w:t>
      </w:r>
    </w:p>
    <w:p w14:paraId="6E4FB8B3" w14:textId="09606D0D" w:rsidR="00560C64" w:rsidRPr="00855D69" w:rsidRDefault="002D1E0A">
      <w:pPr>
        <w:numPr>
          <w:ilvl w:val="0"/>
          <w:numId w:val="2"/>
        </w:numPr>
        <w:rPr>
          <w:b/>
          <w:lang w:val="en-GB"/>
        </w:rPr>
      </w:pPr>
      <w:r w:rsidRPr="00855D69">
        <w:rPr>
          <w:lang w:val="en-GB"/>
        </w:rPr>
        <w:t xml:space="preserve">Strategic </w:t>
      </w:r>
      <w:r w:rsidR="00722FFE" w:rsidRPr="00855D69">
        <w:rPr>
          <w:lang w:val="en-GB"/>
        </w:rPr>
        <w:t xml:space="preserve">partner </w:t>
      </w:r>
      <w:r w:rsidR="00C4587B" w:rsidRPr="00C75409">
        <w:rPr>
          <w:lang w:val="en-US"/>
        </w:rPr>
        <w:t>—</w:t>
      </w:r>
      <w:r w:rsidRPr="00855D69">
        <w:rPr>
          <w:lang w:val="en-GB"/>
        </w:rPr>
        <w:t xml:space="preserve"> Dagestan</w:t>
      </w:r>
    </w:p>
    <w:p w14:paraId="036D9B0D" w14:textId="4F8DA1EA" w:rsidR="00560C64" w:rsidRPr="00855D69" w:rsidRDefault="00722FFE">
      <w:pPr>
        <w:numPr>
          <w:ilvl w:val="0"/>
          <w:numId w:val="2"/>
        </w:numPr>
        <w:rPr>
          <w:b/>
          <w:lang w:val="en-GB"/>
        </w:rPr>
      </w:pPr>
      <w:r w:rsidRPr="00855D69">
        <w:rPr>
          <w:lang w:val="en-GB"/>
        </w:rPr>
        <w:t xml:space="preserve">Region-Partner </w:t>
      </w:r>
      <w:r w:rsidR="00C4587B" w:rsidRPr="00C75409">
        <w:rPr>
          <w:lang w:val="en-US"/>
        </w:rPr>
        <w:t>—</w:t>
      </w:r>
      <w:r w:rsidR="002D1E0A" w:rsidRPr="00855D69">
        <w:rPr>
          <w:lang w:val="en-GB"/>
        </w:rPr>
        <w:t xml:space="preserve"> Samara</w:t>
      </w:r>
    </w:p>
    <w:p w14:paraId="1EE1E41E" w14:textId="460A261C" w:rsidR="00560C64" w:rsidRPr="00855D69" w:rsidRDefault="00722FFE">
      <w:pPr>
        <w:numPr>
          <w:ilvl w:val="0"/>
          <w:numId w:val="2"/>
        </w:numPr>
        <w:rPr>
          <w:b/>
          <w:lang w:val="en-GB"/>
        </w:rPr>
      </w:pPr>
      <w:r w:rsidRPr="00855D69">
        <w:rPr>
          <w:lang w:val="en-GB"/>
        </w:rPr>
        <w:t>Partner</w:t>
      </w:r>
      <w:r w:rsidR="002D1E0A" w:rsidRPr="00855D69">
        <w:rPr>
          <w:lang w:val="en-GB"/>
        </w:rPr>
        <w:t xml:space="preserve"> city </w:t>
      </w:r>
      <w:r w:rsidR="00C4587B" w:rsidRPr="00C75409">
        <w:rPr>
          <w:lang w:val="en-US"/>
        </w:rPr>
        <w:t>—</w:t>
      </w:r>
      <w:r w:rsidR="002D1E0A" w:rsidRPr="00855D69">
        <w:rPr>
          <w:lang w:val="en-GB"/>
        </w:rPr>
        <w:t xml:space="preserve"> St. Petersburg</w:t>
      </w:r>
    </w:p>
    <w:p w14:paraId="5AF914AF" w14:textId="35E5BD62" w:rsidR="00560C64" w:rsidRPr="00855D69" w:rsidRDefault="002D1E0A">
      <w:pPr>
        <w:numPr>
          <w:ilvl w:val="0"/>
          <w:numId w:val="2"/>
        </w:numPr>
        <w:rPr>
          <w:b/>
          <w:lang w:val="en-GB"/>
        </w:rPr>
      </w:pPr>
      <w:r w:rsidRPr="00855D69">
        <w:rPr>
          <w:lang w:val="en-GB"/>
        </w:rPr>
        <w:t xml:space="preserve">Key </w:t>
      </w:r>
      <w:r w:rsidR="00722FFE" w:rsidRPr="00855D69">
        <w:rPr>
          <w:lang w:val="en-GB"/>
        </w:rPr>
        <w:t xml:space="preserve">partner </w:t>
      </w:r>
      <w:r w:rsidR="00C4587B" w:rsidRPr="00C75409">
        <w:rPr>
          <w:lang w:val="en-US"/>
        </w:rPr>
        <w:t>—</w:t>
      </w:r>
      <w:r w:rsidRPr="00855D69">
        <w:rPr>
          <w:lang w:val="en-GB"/>
        </w:rPr>
        <w:t xml:space="preserve"> Khakassia</w:t>
      </w:r>
      <w:r w:rsidR="005F2EA8">
        <w:rPr>
          <w:lang w:val="en-GB"/>
        </w:rPr>
        <w:t xml:space="preserve"> </w:t>
      </w:r>
    </w:p>
    <w:p w14:paraId="209B69D9" w14:textId="77777777" w:rsidR="00560C64" w:rsidRPr="00855D69" w:rsidRDefault="002D1E0A">
      <w:pPr>
        <w:numPr>
          <w:ilvl w:val="0"/>
          <w:numId w:val="2"/>
        </w:numPr>
        <w:rPr>
          <w:b/>
          <w:lang w:val="en-GB"/>
        </w:rPr>
      </w:pPr>
      <w:r w:rsidRPr="00855D69">
        <w:rPr>
          <w:lang w:val="en-GB"/>
        </w:rPr>
        <w:t xml:space="preserve">Mountain </w:t>
      </w:r>
      <w:r w:rsidR="00722FFE" w:rsidRPr="00855D69">
        <w:rPr>
          <w:lang w:val="en-GB"/>
        </w:rPr>
        <w:t xml:space="preserve">Partner </w:t>
      </w:r>
      <w:r w:rsidRPr="00855D69">
        <w:rPr>
          <w:lang w:val="en-GB"/>
        </w:rPr>
        <w:t>- Caucasus RF</w:t>
      </w:r>
    </w:p>
    <w:p w14:paraId="05386F5F" w14:textId="45A3F81F" w:rsidR="00560C64" w:rsidRPr="00855D69" w:rsidRDefault="002D1E0A">
      <w:pPr>
        <w:numPr>
          <w:ilvl w:val="0"/>
          <w:numId w:val="2"/>
        </w:numPr>
        <w:rPr>
          <w:b/>
          <w:lang w:val="en-GB"/>
        </w:rPr>
      </w:pPr>
      <w:r w:rsidRPr="00855D69">
        <w:rPr>
          <w:lang w:val="en-GB"/>
        </w:rPr>
        <w:t xml:space="preserve">The official </w:t>
      </w:r>
      <w:r w:rsidR="00722FFE" w:rsidRPr="00855D69">
        <w:rPr>
          <w:lang w:val="en-GB"/>
        </w:rPr>
        <w:t>partner</w:t>
      </w:r>
      <w:r w:rsidRPr="00855D69">
        <w:rPr>
          <w:lang w:val="en-GB"/>
        </w:rPr>
        <w:t xml:space="preserve"> bank </w:t>
      </w:r>
      <w:r w:rsidR="00C4587B" w:rsidRPr="00C75409">
        <w:rPr>
          <w:lang w:val="en-US"/>
        </w:rPr>
        <w:t>—</w:t>
      </w:r>
      <w:r w:rsidRPr="00855D69">
        <w:rPr>
          <w:lang w:val="en-GB"/>
        </w:rPr>
        <w:t xml:space="preserve"> Sber</w:t>
      </w:r>
    </w:p>
    <w:p w14:paraId="61153234" w14:textId="77777777" w:rsidR="00560C64" w:rsidRPr="00855D69" w:rsidRDefault="002D1E0A">
      <w:pPr>
        <w:numPr>
          <w:ilvl w:val="0"/>
          <w:numId w:val="2"/>
        </w:numPr>
        <w:rPr>
          <w:b/>
          <w:lang w:val="en-GB"/>
        </w:rPr>
      </w:pPr>
      <w:r w:rsidRPr="00855D69">
        <w:rPr>
          <w:lang w:val="en-GB"/>
        </w:rPr>
        <w:t xml:space="preserve">Krasnaya Polyana Resort is the general </w:t>
      </w:r>
      <w:r w:rsidR="00722FFE" w:rsidRPr="00855D69">
        <w:rPr>
          <w:lang w:val="en-GB"/>
        </w:rPr>
        <w:t>partner</w:t>
      </w:r>
      <w:r w:rsidRPr="00855D69">
        <w:rPr>
          <w:lang w:val="en-GB"/>
        </w:rPr>
        <w:t xml:space="preserve"> of the business programme</w:t>
      </w:r>
    </w:p>
    <w:p w14:paraId="0533D28E" w14:textId="64AF0EC6" w:rsidR="00560C64" w:rsidRPr="00855D69" w:rsidRDefault="002D1E0A">
      <w:pPr>
        <w:numPr>
          <w:ilvl w:val="0"/>
          <w:numId w:val="2"/>
        </w:numPr>
        <w:rPr>
          <w:b/>
          <w:lang w:val="en-GB"/>
        </w:rPr>
      </w:pPr>
      <w:r w:rsidRPr="00855D69">
        <w:rPr>
          <w:lang w:val="en-GB"/>
        </w:rPr>
        <w:t xml:space="preserve">Official </w:t>
      </w:r>
      <w:r w:rsidR="00722FFE" w:rsidRPr="00855D69">
        <w:rPr>
          <w:lang w:val="en-GB"/>
        </w:rPr>
        <w:t>partner</w:t>
      </w:r>
      <w:r w:rsidRPr="00855D69">
        <w:rPr>
          <w:lang w:val="en-GB"/>
        </w:rPr>
        <w:t xml:space="preserve"> of the business programme </w:t>
      </w:r>
      <w:r w:rsidR="00C4587B" w:rsidRPr="00C75409">
        <w:rPr>
          <w:lang w:val="en-US"/>
        </w:rPr>
        <w:t>—</w:t>
      </w:r>
      <w:r w:rsidRPr="00855D69">
        <w:rPr>
          <w:lang w:val="en-GB"/>
        </w:rPr>
        <w:t xml:space="preserve"> MTS Travel, Bronevik.com</w:t>
      </w:r>
    </w:p>
    <w:p w14:paraId="30214703" w14:textId="3BB28C42" w:rsidR="00560C64" w:rsidRPr="00855D69" w:rsidRDefault="002D1E0A">
      <w:pPr>
        <w:numPr>
          <w:ilvl w:val="0"/>
          <w:numId w:val="2"/>
        </w:numPr>
        <w:rPr>
          <w:b/>
          <w:lang w:val="en-GB"/>
        </w:rPr>
      </w:pPr>
      <w:r w:rsidRPr="00855D69">
        <w:rPr>
          <w:lang w:val="en-GB"/>
        </w:rPr>
        <w:t xml:space="preserve">IT </w:t>
      </w:r>
      <w:r w:rsidR="00722FFE" w:rsidRPr="00855D69">
        <w:rPr>
          <w:lang w:val="en-GB"/>
        </w:rPr>
        <w:t xml:space="preserve">partner </w:t>
      </w:r>
      <w:r w:rsidR="00C4587B" w:rsidRPr="00C75409">
        <w:rPr>
          <w:lang w:val="en-US"/>
        </w:rPr>
        <w:t>—</w:t>
      </w:r>
      <w:r w:rsidRPr="00855D69">
        <w:rPr>
          <w:lang w:val="en-GB"/>
        </w:rPr>
        <w:t xml:space="preserve"> Travelline</w:t>
      </w:r>
    </w:p>
    <w:p w14:paraId="07AE0520" w14:textId="13F7CE49" w:rsidR="00560C64" w:rsidRPr="00855D69" w:rsidRDefault="00722FFE">
      <w:pPr>
        <w:numPr>
          <w:ilvl w:val="0"/>
          <w:numId w:val="2"/>
        </w:numPr>
        <w:rPr>
          <w:b/>
          <w:lang w:val="en-GB"/>
        </w:rPr>
      </w:pPr>
      <w:r w:rsidRPr="00855D69">
        <w:rPr>
          <w:lang w:val="en-GB"/>
        </w:rPr>
        <w:t>Partner</w:t>
      </w:r>
      <w:r w:rsidR="002D1E0A" w:rsidRPr="00855D69">
        <w:rPr>
          <w:lang w:val="en-GB"/>
        </w:rPr>
        <w:t xml:space="preserve"> of the Ministerial Cocktail </w:t>
      </w:r>
      <w:r w:rsidR="00C4587B" w:rsidRPr="00C75409">
        <w:rPr>
          <w:lang w:val="en-US"/>
        </w:rPr>
        <w:t>—</w:t>
      </w:r>
      <w:r w:rsidR="002D1E0A" w:rsidRPr="00855D69">
        <w:rPr>
          <w:lang w:val="en-GB"/>
        </w:rPr>
        <w:t xml:space="preserve"> Government of the Altai Republic</w:t>
      </w:r>
    </w:p>
    <w:p w14:paraId="3A075798" w14:textId="59DE5E4F" w:rsidR="00560C64" w:rsidRPr="00855D69" w:rsidRDefault="002D1E0A">
      <w:pPr>
        <w:numPr>
          <w:ilvl w:val="0"/>
          <w:numId w:val="2"/>
        </w:numPr>
        <w:ind w:left="714" w:hanging="357"/>
        <w:rPr>
          <w:b/>
          <w:lang w:val="en-GB"/>
        </w:rPr>
      </w:pPr>
      <w:r w:rsidRPr="00855D69">
        <w:rPr>
          <w:lang w:val="en-GB"/>
        </w:rPr>
        <w:t>Official media partner</w:t>
      </w:r>
      <w:r w:rsidR="00C4587B">
        <w:rPr>
          <w:lang w:val="en-GB"/>
        </w:rPr>
        <w:t xml:space="preserve"> </w:t>
      </w:r>
      <w:r w:rsidR="00C4587B" w:rsidRPr="00C75409">
        <w:rPr>
          <w:lang w:val="en-US"/>
        </w:rPr>
        <w:t>—</w:t>
      </w:r>
      <w:r w:rsidR="00C4587B">
        <w:rPr>
          <w:lang w:val="en-US"/>
        </w:rPr>
        <w:t xml:space="preserve"> </w:t>
      </w:r>
      <w:r w:rsidRPr="00855D69">
        <w:rPr>
          <w:lang w:val="en-GB"/>
        </w:rPr>
        <w:t>TV channel "Let's Go"</w:t>
      </w:r>
    </w:p>
    <w:p w14:paraId="46B83A2F" w14:textId="192A19EC" w:rsidR="00560C64" w:rsidRPr="00855D69" w:rsidRDefault="002D1E0A">
      <w:pPr>
        <w:numPr>
          <w:ilvl w:val="0"/>
          <w:numId w:val="2"/>
        </w:numPr>
        <w:ind w:left="714" w:hanging="357"/>
        <w:rPr>
          <w:b/>
          <w:lang w:val="en-GB"/>
        </w:rPr>
      </w:pPr>
      <w:r w:rsidRPr="00855D69">
        <w:rPr>
          <w:lang w:val="en-GB"/>
        </w:rPr>
        <w:t xml:space="preserve">Partner of the Plenary </w:t>
      </w:r>
      <w:r w:rsidR="00AA730F" w:rsidRPr="00855D69">
        <w:rPr>
          <w:lang w:val="en-GB"/>
        </w:rPr>
        <w:t xml:space="preserve">Session </w:t>
      </w:r>
      <w:r w:rsidR="00AA730F" w:rsidRPr="005F2EA8">
        <w:rPr>
          <w:lang w:val="en-GB"/>
        </w:rPr>
        <w:t>—</w:t>
      </w:r>
      <w:r w:rsidR="005F2EA8" w:rsidRPr="005F2EA8">
        <w:rPr>
          <w:color w:val="1F1F1F"/>
          <w:sz w:val="21"/>
          <w:szCs w:val="21"/>
          <w:lang w:val="en-GB"/>
        </w:rPr>
        <w:t xml:space="preserve"> </w:t>
      </w:r>
      <w:r w:rsidRPr="00855D69">
        <w:rPr>
          <w:lang w:val="en-GB"/>
        </w:rPr>
        <w:t xml:space="preserve"> Government of Sevastopol</w:t>
      </w:r>
    </w:p>
    <w:p w14:paraId="249D005B" w14:textId="1E6BB9A6" w:rsidR="00560C64" w:rsidRPr="00855D69" w:rsidRDefault="002D1E0A">
      <w:pPr>
        <w:numPr>
          <w:ilvl w:val="0"/>
          <w:numId w:val="2"/>
        </w:numPr>
        <w:rPr>
          <w:b/>
          <w:lang w:val="en-GB"/>
        </w:rPr>
      </w:pPr>
      <w:r w:rsidRPr="00855D69">
        <w:rPr>
          <w:lang w:val="en-GB"/>
        </w:rPr>
        <w:t xml:space="preserve">Partner of the Innovation </w:t>
      </w:r>
      <w:r w:rsidR="00AA730F" w:rsidRPr="00855D69">
        <w:rPr>
          <w:lang w:val="en-GB"/>
        </w:rPr>
        <w:t xml:space="preserve">Day </w:t>
      </w:r>
      <w:r w:rsidR="00AA730F" w:rsidRPr="005F2EA8">
        <w:rPr>
          <w:lang w:val="en-GB"/>
        </w:rPr>
        <w:t>—</w:t>
      </w:r>
      <w:r w:rsidR="005F2EA8" w:rsidRPr="005F2EA8">
        <w:rPr>
          <w:color w:val="1F1F1F"/>
          <w:sz w:val="21"/>
          <w:szCs w:val="21"/>
          <w:lang w:val="en-GB"/>
        </w:rPr>
        <w:t xml:space="preserve"> </w:t>
      </w:r>
      <w:r w:rsidRPr="00855D69">
        <w:rPr>
          <w:lang w:val="en-GB"/>
        </w:rPr>
        <w:t xml:space="preserve"> </w:t>
      </w:r>
      <w:r w:rsidR="005F2EA8">
        <w:rPr>
          <w:lang w:val="en-GB"/>
        </w:rPr>
        <w:t>AISO</w:t>
      </w:r>
    </w:p>
    <w:p w14:paraId="36237063" w14:textId="099C84C4" w:rsidR="00560C64" w:rsidRPr="00855D69" w:rsidRDefault="002D1E0A">
      <w:pPr>
        <w:numPr>
          <w:ilvl w:val="0"/>
          <w:numId w:val="2"/>
        </w:numPr>
        <w:rPr>
          <w:b/>
          <w:lang w:val="en-GB"/>
        </w:rPr>
      </w:pPr>
      <w:r w:rsidRPr="00855D69">
        <w:rPr>
          <w:lang w:val="en-GB"/>
        </w:rPr>
        <w:t xml:space="preserve">Partner of the Regional Tourism Development School </w:t>
      </w:r>
      <w:r w:rsidR="005F2EA8" w:rsidRPr="005F2EA8">
        <w:rPr>
          <w:lang w:val="en-GB"/>
        </w:rPr>
        <w:t xml:space="preserve"> </w:t>
      </w:r>
      <w:r w:rsidR="005F2EA8" w:rsidRPr="005F2EA8">
        <w:rPr>
          <w:lang w:val="en-US"/>
        </w:rPr>
        <w:t>—</w:t>
      </w:r>
      <w:r w:rsidR="005F2EA8" w:rsidRPr="005F2EA8">
        <w:rPr>
          <w:color w:val="1F1F1F"/>
          <w:sz w:val="21"/>
          <w:szCs w:val="21"/>
          <w:lang w:val="en-GB"/>
        </w:rPr>
        <w:t xml:space="preserve"> </w:t>
      </w:r>
      <w:r w:rsidRPr="00855D69">
        <w:rPr>
          <w:lang w:val="en-GB"/>
        </w:rPr>
        <w:t xml:space="preserve"> ANO Monchegorsk Development Agency</w:t>
      </w:r>
    </w:p>
    <w:p w14:paraId="089B4AD4" w14:textId="140D706F" w:rsidR="00560C64" w:rsidRPr="00855D69" w:rsidRDefault="002D1E0A">
      <w:pPr>
        <w:numPr>
          <w:ilvl w:val="0"/>
          <w:numId w:val="2"/>
        </w:numPr>
        <w:rPr>
          <w:b/>
          <w:lang w:val="en-GB"/>
        </w:rPr>
      </w:pPr>
      <w:r w:rsidRPr="00855D69">
        <w:rPr>
          <w:lang w:val="en-GB"/>
        </w:rPr>
        <w:t xml:space="preserve">Business programme </w:t>
      </w:r>
      <w:r w:rsidR="00AA730F" w:rsidRPr="00855D69">
        <w:rPr>
          <w:lang w:val="en-GB"/>
        </w:rPr>
        <w:t xml:space="preserve">partners </w:t>
      </w:r>
      <w:r w:rsidR="00AA730F" w:rsidRPr="005F2EA8">
        <w:rPr>
          <w:lang w:val="en-GB"/>
        </w:rPr>
        <w:t>—</w:t>
      </w:r>
      <w:r w:rsidR="005F2EA8" w:rsidRPr="005F2EA8">
        <w:rPr>
          <w:color w:val="1F1F1F"/>
          <w:sz w:val="21"/>
          <w:szCs w:val="21"/>
          <w:lang w:val="en-GB"/>
        </w:rPr>
        <w:t xml:space="preserve"> </w:t>
      </w:r>
      <w:r w:rsidRPr="00855D69">
        <w:rPr>
          <w:lang w:val="en-GB"/>
        </w:rPr>
        <w:t xml:space="preserve"> Ostrovok.ru, Hospitality Workshop</w:t>
      </w:r>
    </w:p>
    <w:p w14:paraId="489257B8" w14:textId="7D2164C7" w:rsidR="00560C64" w:rsidRPr="00855D69" w:rsidRDefault="002D1E0A">
      <w:pPr>
        <w:numPr>
          <w:ilvl w:val="0"/>
          <w:numId w:val="2"/>
        </w:numPr>
        <w:rPr>
          <w:b/>
          <w:lang w:val="en-GB"/>
        </w:rPr>
      </w:pPr>
      <w:r w:rsidRPr="00855D69">
        <w:rPr>
          <w:lang w:val="en-GB"/>
        </w:rPr>
        <w:t xml:space="preserve">Strategic partners of the MITT Digital </w:t>
      </w:r>
      <w:r w:rsidR="00AA730F" w:rsidRPr="00855D69">
        <w:rPr>
          <w:lang w:val="en-GB"/>
        </w:rPr>
        <w:t xml:space="preserve">conference </w:t>
      </w:r>
      <w:r w:rsidR="00AA730F" w:rsidRPr="005F2EA8">
        <w:rPr>
          <w:lang w:val="en-GB"/>
        </w:rPr>
        <w:t>—</w:t>
      </w:r>
      <w:r w:rsidR="005F2EA8" w:rsidRPr="005F2EA8">
        <w:rPr>
          <w:color w:val="1F1F1F"/>
          <w:sz w:val="21"/>
          <w:szCs w:val="21"/>
          <w:lang w:val="en-GB"/>
        </w:rPr>
        <w:t xml:space="preserve"> </w:t>
      </w:r>
      <w:r w:rsidRPr="00855D69">
        <w:rPr>
          <w:lang w:val="en-GB"/>
        </w:rPr>
        <w:t xml:space="preserve"> </w:t>
      </w:r>
      <w:r w:rsidR="00CC4B1E" w:rsidRPr="00855D69">
        <w:rPr>
          <w:lang w:val="en-GB"/>
        </w:rPr>
        <w:t>Bronevik.com, TravelLine, Tinkoff</w:t>
      </w:r>
    </w:p>
    <w:p w14:paraId="313C0A3B" w14:textId="1A31D448" w:rsidR="00560C64" w:rsidRPr="00855D69" w:rsidRDefault="002D1E0A">
      <w:pPr>
        <w:numPr>
          <w:ilvl w:val="0"/>
          <w:numId w:val="2"/>
        </w:numPr>
        <w:rPr>
          <w:b/>
          <w:lang w:val="en-GB"/>
        </w:rPr>
      </w:pPr>
      <w:r w:rsidRPr="00855D69">
        <w:rPr>
          <w:lang w:val="en-GB"/>
        </w:rPr>
        <w:t xml:space="preserve">MITT Digital Conference Partners </w:t>
      </w:r>
      <w:r w:rsidR="005F2EA8" w:rsidRPr="005F2EA8">
        <w:rPr>
          <w:lang w:val="en-GB"/>
        </w:rPr>
        <w:t xml:space="preserve"> </w:t>
      </w:r>
      <w:r w:rsidR="005F2EA8" w:rsidRPr="005F2EA8">
        <w:rPr>
          <w:lang w:val="en-US"/>
        </w:rPr>
        <w:t>—</w:t>
      </w:r>
      <w:r w:rsidR="005F2EA8" w:rsidRPr="005F2EA8">
        <w:rPr>
          <w:color w:val="1F1F1F"/>
          <w:sz w:val="21"/>
          <w:szCs w:val="21"/>
          <w:lang w:val="en-GB"/>
        </w:rPr>
        <w:t xml:space="preserve"> </w:t>
      </w:r>
      <w:r w:rsidRPr="00855D69">
        <w:rPr>
          <w:lang w:val="en-GB"/>
        </w:rPr>
        <w:t xml:space="preserve"> Bnovo, Daily.ru, RoomSharing | Norke, Euroins, OZON Travel, Othello, f.doc, Akadem-Online, Edelink, Russian Railways</w:t>
      </w:r>
    </w:p>
    <w:p w14:paraId="1CE1890F" w14:textId="77777777" w:rsidR="008A623D" w:rsidRDefault="008A623D">
      <w:pPr>
        <w:jc w:val="both"/>
        <w:rPr>
          <w:lang w:val="en-GB"/>
        </w:rPr>
      </w:pPr>
    </w:p>
    <w:p w14:paraId="662EE9C8" w14:textId="690263BF" w:rsidR="002E6244" w:rsidRPr="00191D59" w:rsidRDefault="002E6244" w:rsidP="002E6244">
      <w:pPr>
        <w:jc w:val="both"/>
        <w:rPr>
          <w:lang w:val="en-US"/>
        </w:rPr>
      </w:pPr>
    </w:p>
    <w:sectPr w:rsidR="002E6244" w:rsidRPr="00191D59">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390C" w14:textId="77777777" w:rsidR="00EC785B" w:rsidRDefault="00EC785B">
      <w:pPr>
        <w:spacing w:line="240" w:lineRule="auto"/>
      </w:pPr>
      <w:r>
        <w:separator/>
      </w:r>
    </w:p>
  </w:endnote>
  <w:endnote w:type="continuationSeparator" w:id="0">
    <w:p w14:paraId="4EC3B098" w14:textId="77777777" w:rsidR="00EC785B" w:rsidRDefault="00EC785B">
      <w:pPr>
        <w:spacing w:line="240" w:lineRule="auto"/>
      </w:pPr>
      <w:r>
        <w:continuationSeparator/>
      </w:r>
    </w:p>
  </w:endnote>
  <w:endnote w:type="continuationNotice" w:id="1">
    <w:p w14:paraId="65053562" w14:textId="77777777" w:rsidR="00EC785B" w:rsidRDefault="00EC7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362C" w14:textId="77777777" w:rsidR="00EC785B" w:rsidRDefault="00EC785B">
      <w:pPr>
        <w:spacing w:line="240" w:lineRule="auto"/>
      </w:pPr>
      <w:r>
        <w:separator/>
      </w:r>
    </w:p>
  </w:footnote>
  <w:footnote w:type="continuationSeparator" w:id="0">
    <w:p w14:paraId="0BDC4F0A" w14:textId="77777777" w:rsidR="00EC785B" w:rsidRDefault="00EC785B">
      <w:pPr>
        <w:spacing w:line="240" w:lineRule="auto"/>
      </w:pPr>
      <w:r>
        <w:continuationSeparator/>
      </w:r>
    </w:p>
  </w:footnote>
  <w:footnote w:type="continuationNotice" w:id="1">
    <w:p w14:paraId="73CD7E2F" w14:textId="77777777" w:rsidR="00EC785B" w:rsidRDefault="00EC78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480" w14:textId="77777777" w:rsidR="008A623D" w:rsidRDefault="00CC4B1E">
    <w:r>
      <w:rPr>
        <w:noProof/>
      </w:rPr>
      <w:drawing>
        <wp:inline distT="114300" distB="114300" distL="114300" distR="114300" wp14:anchorId="7F3E7DED" wp14:editId="1B71DD1E">
          <wp:extent cx="5731200" cy="1600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1600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E78"/>
    <w:multiLevelType w:val="multilevel"/>
    <w:tmpl w:val="301A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C7514"/>
    <w:multiLevelType w:val="multilevel"/>
    <w:tmpl w:val="AF8E8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C6FF2"/>
    <w:multiLevelType w:val="hybridMultilevel"/>
    <w:tmpl w:val="EED65050"/>
    <w:lvl w:ilvl="0" w:tplc="8604E8E0">
      <w:start w:val="1"/>
      <w:numFmt w:val="bullet"/>
      <w:lvlText w:val=""/>
      <w:lvlJc w:val="left"/>
      <w:pPr>
        <w:ind w:left="1080" w:hanging="360"/>
      </w:pPr>
      <w:rPr>
        <w:rFonts w:ascii="Symbol" w:hAnsi="Symbol"/>
      </w:rPr>
    </w:lvl>
    <w:lvl w:ilvl="1" w:tplc="8ABA9514">
      <w:start w:val="1"/>
      <w:numFmt w:val="bullet"/>
      <w:lvlText w:val=""/>
      <w:lvlJc w:val="left"/>
      <w:pPr>
        <w:ind w:left="1080" w:hanging="360"/>
      </w:pPr>
      <w:rPr>
        <w:rFonts w:ascii="Symbol" w:hAnsi="Symbol"/>
      </w:rPr>
    </w:lvl>
    <w:lvl w:ilvl="2" w:tplc="8CD0A824">
      <w:start w:val="1"/>
      <w:numFmt w:val="bullet"/>
      <w:lvlText w:val=""/>
      <w:lvlJc w:val="left"/>
      <w:pPr>
        <w:ind w:left="1080" w:hanging="360"/>
      </w:pPr>
      <w:rPr>
        <w:rFonts w:ascii="Symbol" w:hAnsi="Symbol"/>
      </w:rPr>
    </w:lvl>
    <w:lvl w:ilvl="3" w:tplc="0D247206">
      <w:start w:val="1"/>
      <w:numFmt w:val="bullet"/>
      <w:lvlText w:val=""/>
      <w:lvlJc w:val="left"/>
      <w:pPr>
        <w:ind w:left="1080" w:hanging="360"/>
      </w:pPr>
      <w:rPr>
        <w:rFonts w:ascii="Symbol" w:hAnsi="Symbol"/>
      </w:rPr>
    </w:lvl>
    <w:lvl w:ilvl="4" w:tplc="B786486C">
      <w:start w:val="1"/>
      <w:numFmt w:val="bullet"/>
      <w:lvlText w:val=""/>
      <w:lvlJc w:val="left"/>
      <w:pPr>
        <w:ind w:left="1080" w:hanging="360"/>
      </w:pPr>
      <w:rPr>
        <w:rFonts w:ascii="Symbol" w:hAnsi="Symbol"/>
      </w:rPr>
    </w:lvl>
    <w:lvl w:ilvl="5" w:tplc="CE949DB4">
      <w:start w:val="1"/>
      <w:numFmt w:val="bullet"/>
      <w:lvlText w:val=""/>
      <w:lvlJc w:val="left"/>
      <w:pPr>
        <w:ind w:left="1080" w:hanging="360"/>
      </w:pPr>
      <w:rPr>
        <w:rFonts w:ascii="Symbol" w:hAnsi="Symbol"/>
      </w:rPr>
    </w:lvl>
    <w:lvl w:ilvl="6" w:tplc="A81CEB9C">
      <w:start w:val="1"/>
      <w:numFmt w:val="bullet"/>
      <w:lvlText w:val=""/>
      <w:lvlJc w:val="left"/>
      <w:pPr>
        <w:ind w:left="1080" w:hanging="360"/>
      </w:pPr>
      <w:rPr>
        <w:rFonts w:ascii="Symbol" w:hAnsi="Symbol"/>
      </w:rPr>
    </w:lvl>
    <w:lvl w:ilvl="7" w:tplc="4F6436A8">
      <w:start w:val="1"/>
      <w:numFmt w:val="bullet"/>
      <w:lvlText w:val=""/>
      <w:lvlJc w:val="left"/>
      <w:pPr>
        <w:ind w:left="1080" w:hanging="360"/>
      </w:pPr>
      <w:rPr>
        <w:rFonts w:ascii="Symbol" w:hAnsi="Symbol"/>
      </w:rPr>
    </w:lvl>
    <w:lvl w:ilvl="8" w:tplc="15B88E7E">
      <w:start w:val="1"/>
      <w:numFmt w:val="bullet"/>
      <w:lvlText w:val=""/>
      <w:lvlJc w:val="left"/>
      <w:pPr>
        <w:ind w:left="1080" w:hanging="360"/>
      </w:pPr>
      <w:rPr>
        <w:rFonts w:ascii="Symbol" w:hAnsi="Symbol"/>
      </w:rPr>
    </w:lvl>
  </w:abstractNum>
  <w:abstractNum w:abstractNumId="3" w15:restartNumberingAfterBreak="0">
    <w:nsid w:val="5348448C"/>
    <w:multiLevelType w:val="multilevel"/>
    <w:tmpl w:val="E998F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676352"/>
    <w:multiLevelType w:val="multilevel"/>
    <w:tmpl w:val="0100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D72CB1"/>
    <w:multiLevelType w:val="multilevel"/>
    <w:tmpl w:val="7FA8D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F64352"/>
    <w:multiLevelType w:val="multilevel"/>
    <w:tmpl w:val="E236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8625F1"/>
    <w:multiLevelType w:val="multilevel"/>
    <w:tmpl w:val="97843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8029467">
    <w:abstractNumId w:val="6"/>
  </w:num>
  <w:num w:numId="2" w16cid:durableId="289020478">
    <w:abstractNumId w:val="1"/>
  </w:num>
  <w:num w:numId="3" w16cid:durableId="1042902292">
    <w:abstractNumId w:val="5"/>
  </w:num>
  <w:num w:numId="4" w16cid:durableId="1264849237">
    <w:abstractNumId w:val="4"/>
  </w:num>
  <w:num w:numId="5" w16cid:durableId="538395835">
    <w:abstractNumId w:val="0"/>
  </w:num>
  <w:num w:numId="6" w16cid:durableId="1424491026">
    <w:abstractNumId w:val="3"/>
  </w:num>
  <w:num w:numId="7" w16cid:durableId="1821194431">
    <w:abstractNumId w:val="7"/>
  </w:num>
  <w:num w:numId="8" w16cid:durableId="2049329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3D"/>
    <w:rsid w:val="00026136"/>
    <w:rsid w:val="00036AAB"/>
    <w:rsid w:val="00041B9F"/>
    <w:rsid w:val="00054BA1"/>
    <w:rsid w:val="00081223"/>
    <w:rsid w:val="000929D6"/>
    <w:rsid w:val="000A6E1D"/>
    <w:rsid w:val="000A7EFC"/>
    <w:rsid w:val="000B1DB4"/>
    <w:rsid w:val="000C002D"/>
    <w:rsid w:val="000C0494"/>
    <w:rsid w:val="000D32A9"/>
    <w:rsid w:val="000E70DE"/>
    <w:rsid w:val="000F4803"/>
    <w:rsid w:val="00134901"/>
    <w:rsid w:val="001449E9"/>
    <w:rsid w:val="00172036"/>
    <w:rsid w:val="00174DF7"/>
    <w:rsid w:val="00176EEF"/>
    <w:rsid w:val="00184AA3"/>
    <w:rsid w:val="00191D59"/>
    <w:rsid w:val="001A1D36"/>
    <w:rsid w:val="001B1538"/>
    <w:rsid w:val="001C183F"/>
    <w:rsid w:val="001C24B9"/>
    <w:rsid w:val="001C38E4"/>
    <w:rsid w:val="001E67BE"/>
    <w:rsid w:val="001E67C7"/>
    <w:rsid w:val="00204F0C"/>
    <w:rsid w:val="00237CAC"/>
    <w:rsid w:val="00250BEF"/>
    <w:rsid w:val="002562A3"/>
    <w:rsid w:val="00260479"/>
    <w:rsid w:val="002834F6"/>
    <w:rsid w:val="002836A8"/>
    <w:rsid w:val="00285867"/>
    <w:rsid w:val="002A0852"/>
    <w:rsid w:val="002C6DD2"/>
    <w:rsid w:val="002D0E36"/>
    <w:rsid w:val="002D1E0A"/>
    <w:rsid w:val="002E09AF"/>
    <w:rsid w:val="002E6244"/>
    <w:rsid w:val="003237DA"/>
    <w:rsid w:val="00330651"/>
    <w:rsid w:val="00347996"/>
    <w:rsid w:val="00357CDD"/>
    <w:rsid w:val="0037213D"/>
    <w:rsid w:val="00387D83"/>
    <w:rsid w:val="00395ADB"/>
    <w:rsid w:val="003D49EC"/>
    <w:rsid w:val="003F3A1E"/>
    <w:rsid w:val="003F7749"/>
    <w:rsid w:val="00401D8E"/>
    <w:rsid w:val="0043048C"/>
    <w:rsid w:val="00446096"/>
    <w:rsid w:val="00447D69"/>
    <w:rsid w:val="004854C1"/>
    <w:rsid w:val="00486109"/>
    <w:rsid w:val="004863AD"/>
    <w:rsid w:val="004900D8"/>
    <w:rsid w:val="00492A57"/>
    <w:rsid w:val="004A14E7"/>
    <w:rsid w:val="004E2049"/>
    <w:rsid w:val="004E31E1"/>
    <w:rsid w:val="004F173B"/>
    <w:rsid w:val="004F3F59"/>
    <w:rsid w:val="00504106"/>
    <w:rsid w:val="00517C2F"/>
    <w:rsid w:val="00560C64"/>
    <w:rsid w:val="00565E0B"/>
    <w:rsid w:val="005B4F4D"/>
    <w:rsid w:val="005B6E06"/>
    <w:rsid w:val="005C0703"/>
    <w:rsid w:val="005C7405"/>
    <w:rsid w:val="005D5CBF"/>
    <w:rsid w:val="005F191A"/>
    <w:rsid w:val="005F2D26"/>
    <w:rsid w:val="005F2EA8"/>
    <w:rsid w:val="005F42ED"/>
    <w:rsid w:val="00605E6D"/>
    <w:rsid w:val="00623843"/>
    <w:rsid w:val="00662CCF"/>
    <w:rsid w:val="006642F8"/>
    <w:rsid w:val="00670C3B"/>
    <w:rsid w:val="00672541"/>
    <w:rsid w:val="00694997"/>
    <w:rsid w:val="006C11D8"/>
    <w:rsid w:val="006D6E4A"/>
    <w:rsid w:val="006E6595"/>
    <w:rsid w:val="0072239C"/>
    <w:rsid w:val="00722FFE"/>
    <w:rsid w:val="00726974"/>
    <w:rsid w:val="0075395F"/>
    <w:rsid w:val="00767935"/>
    <w:rsid w:val="007717C6"/>
    <w:rsid w:val="007760FD"/>
    <w:rsid w:val="00777C70"/>
    <w:rsid w:val="0078178A"/>
    <w:rsid w:val="00782E3D"/>
    <w:rsid w:val="007D4F88"/>
    <w:rsid w:val="007E48F6"/>
    <w:rsid w:val="0080281E"/>
    <w:rsid w:val="00805989"/>
    <w:rsid w:val="008079F1"/>
    <w:rsid w:val="008179A7"/>
    <w:rsid w:val="00827F9D"/>
    <w:rsid w:val="00835B7A"/>
    <w:rsid w:val="0085498C"/>
    <w:rsid w:val="00855D69"/>
    <w:rsid w:val="00871B66"/>
    <w:rsid w:val="00871B99"/>
    <w:rsid w:val="00885E32"/>
    <w:rsid w:val="008A623D"/>
    <w:rsid w:val="008D03B8"/>
    <w:rsid w:val="008D4653"/>
    <w:rsid w:val="008D4EBE"/>
    <w:rsid w:val="008D6691"/>
    <w:rsid w:val="008E0731"/>
    <w:rsid w:val="0091729A"/>
    <w:rsid w:val="00921981"/>
    <w:rsid w:val="00927C93"/>
    <w:rsid w:val="00981179"/>
    <w:rsid w:val="00981D81"/>
    <w:rsid w:val="0099580D"/>
    <w:rsid w:val="009C1005"/>
    <w:rsid w:val="009F6865"/>
    <w:rsid w:val="00A00326"/>
    <w:rsid w:val="00A1697B"/>
    <w:rsid w:val="00A2520F"/>
    <w:rsid w:val="00A368AE"/>
    <w:rsid w:val="00A64BE6"/>
    <w:rsid w:val="00A72B11"/>
    <w:rsid w:val="00A84ABF"/>
    <w:rsid w:val="00A868DE"/>
    <w:rsid w:val="00AA1737"/>
    <w:rsid w:val="00AA730F"/>
    <w:rsid w:val="00AD11E0"/>
    <w:rsid w:val="00AD78EF"/>
    <w:rsid w:val="00AE0956"/>
    <w:rsid w:val="00AE0EAC"/>
    <w:rsid w:val="00AF18C7"/>
    <w:rsid w:val="00B251B4"/>
    <w:rsid w:val="00B47573"/>
    <w:rsid w:val="00B81A4C"/>
    <w:rsid w:val="00B864B9"/>
    <w:rsid w:val="00BA5695"/>
    <w:rsid w:val="00BB2A99"/>
    <w:rsid w:val="00BC765C"/>
    <w:rsid w:val="00BE7B44"/>
    <w:rsid w:val="00C03BDE"/>
    <w:rsid w:val="00C03D2B"/>
    <w:rsid w:val="00C06AFA"/>
    <w:rsid w:val="00C24173"/>
    <w:rsid w:val="00C250D8"/>
    <w:rsid w:val="00C4587B"/>
    <w:rsid w:val="00C64872"/>
    <w:rsid w:val="00C66C43"/>
    <w:rsid w:val="00C743A4"/>
    <w:rsid w:val="00C75409"/>
    <w:rsid w:val="00C8641B"/>
    <w:rsid w:val="00C91A63"/>
    <w:rsid w:val="00C948C0"/>
    <w:rsid w:val="00CA22A4"/>
    <w:rsid w:val="00CC4B1E"/>
    <w:rsid w:val="00CD13E1"/>
    <w:rsid w:val="00CD617C"/>
    <w:rsid w:val="00D22885"/>
    <w:rsid w:val="00D31FE3"/>
    <w:rsid w:val="00D4203E"/>
    <w:rsid w:val="00D50473"/>
    <w:rsid w:val="00D57A4A"/>
    <w:rsid w:val="00D83522"/>
    <w:rsid w:val="00D85BB4"/>
    <w:rsid w:val="00DA48DE"/>
    <w:rsid w:val="00DB398D"/>
    <w:rsid w:val="00DD4159"/>
    <w:rsid w:val="00DD555B"/>
    <w:rsid w:val="00DF35B2"/>
    <w:rsid w:val="00DF3D0C"/>
    <w:rsid w:val="00E24CEC"/>
    <w:rsid w:val="00E443B1"/>
    <w:rsid w:val="00E4569C"/>
    <w:rsid w:val="00E73075"/>
    <w:rsid w:val="00E956AC"/>
    <w:rsid w:val="00EB7818"/>
    <w:rsid w:val="00EC785B"/>
    <w:rsid w:val="00EF0F4C"/>
    <w:rsid w:val="00EF49DD"/>
    <w:rsid w:val="00F05575"/>
    <w:rsid w:val="00F429E8"/>
    <w:rsid w:val="00F608A1"/>
    <w:rsid w:val="00FB5C95"/>
    <w:rsid w:val="00FB7E29"/>
    <w:rsid w:val="00FC5421"/>
    <w:rsid w:val="00FC78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3ED3"/>
  <w15:docId w15:val="{C528C5C6-557F-45C4-868C-C86AFB30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annotation reference"/>
    <w:basedOn w:val="a0"/>
    <w:uiPriority w:val="99"/>
    <w:semiHidden/>
    <w:unhideWhenUsed/>
    <w:rsid w:val="00722FFE"/>
    <w:rPr>
      <w:sz w:val="16"/>
      <w:szCs w:val="16"/>
    </w:rPr>
  </w:style>
  <w:style w:type="paragraph" w:styleId="a6">
    <w:name w:val="annotation text"/>
    <w:basedOn w:val="a"/>
    <w:link w:val="a7"/>
    <w:uiPriority w:val="99"/>
    <w:unhideWhenUsed/>
    <w:rsid w:val="00722FFE"/>
    <w:pPr>
      <w:spacing w:line="240" w:lineRule="auto"/>
    </w:pPr>
    <w:rPr>
      <w:sz w:val="20"/>
      <w:szCs w:val="20"/>
    </w:rPr>
  </w:style>
  <w:style w:type="character" w:customStyle="1" w:styleId="a7">
    <w:name w:val="Текст примечания Знак"/>
    <w:basedOn w:val="a0"/>
    <w:link w:val="a6"/>
    <w:uiPriority w:val="99"/>
    <w:rsid w:val="00722FFE"/>
    <w:rPr>
      <w:sz w:val="20"/>
      <w:szCs w:val="20"/>
    </w:rPr>
  </w:style>
  <w:style w:type="paragraph" w:styleId="a8">
    <w:name w:val="annotation subject"/>
    <w:basedOn w:val="a6"/>
    <w:next w:val="a6"/>
    <w:link w:val="a9"/>
    <w:uiPriority w:val="99"/>
    <w:semiHidden/>
    <w:unhideWhenUsed/>
    <w:rsid w:val="00722FFE"/>
    <w:rPr>
      <w:b/>
      <w:bCs/>
    </w:rPr>
  </w:style>
  <w:style w:type="character" w:customStyle="1" w:styleId="a9">
    <w:name w:val="Тема примечания Знак"/>
    <w:basedOn w:val="a7"/>
    <w:link w:val="a8"/>
    <w:uiPriority w:val="99"/>
    <w:semiHidden/>
    <w:rsid w:val="00722FFE"/>
    <w:rPr>
      <w:b/>
      <w:bCs/>
      <w:sz w:val="20"/>
      <w:szCs w:val="20"/>
    </w:rPr>
  </w:style>
  <w:style w:type="paragraph" w:styleId="aa">
    <w:name w:val="Revision"/>
    <w:hidden/>
    <w:uiPriority w:val="99"/>
    <w:semiHidden/>
    <w:rsid w:val="00871B66"/>
    <w:pPr>
      <w:spacing w:line="240" w:lineRule="auto"/>
    </w:pPr>
  </w:style>
  <w:style w:type="paragraph" w:styleId="ab">
    <w:name w:val="header"/>
    <w:basedOn w:val="a"/>
    <w:link w:val="ac"/>
    <w:uiPriority w:val="99"/>
    <w:unhideWhenUsed/>
    <w:rsid w:val="00871B66"/>
    <w:pPr>
      <w:tabs>
        <w:tab w:val="center" w:pos="4677"/>
        <w:tab w:val="right" w:pos="9355"/>
      </w:tabs>
      <w:spacing w:line="240" w:lineRule="auto"/>
    </w:pPr>
  </w:style>
  <w:style w:type="character" w:customStyle="1" w:styleId="ac">
    <w:name w:val="Верхний колонтитул Знак"/>
    <w:basedOn w:val="a0"/>
    <w:link w:val="ab"/>
    <w:uiPriority w:val="99"/>
    <w:rsid w:val="00871B66"/>
  </w:style>
  <w:style w:type="paragraph" w:styleId="ad">
    <w:name w:val="footer"/>
    <w:basedOn w:val="a"/>
    <w:link w:val="ae"/>
    <w:uiPriority w:val="99"/>
    <w:unhideWhenUsed/>
    <w:rsid w:val="00871B66"/>
    <w:pPr>
      <w:tabs>
        <w:tab w:val="center" w:pos="4677"/>
        <w:tab w:val="right" w:pos="9355"/>
      </w:tabs>
      <w:spacing w:line="240" w:lineRule="auto"/>
    </w:pPr>
  </w:style>
  <w:style w:type="character" w:customStyle="1" w:styleId="ae">
    <w:name w:val="Нижний колонтитул Знак"/>
    <w:basedOn w:val="a0"/>
    <w:link w:val="ad"/>
    <w:uiPriority w:val="99"/>
    <w:rsid w:val="00871B66"/>
  </w:style>
  <w:style w:type="character" w:styleId="af">
    <w:name w:val="Hyperlink"/>
    <w:basedOn w:val="a0"/>
    <w:uiPriority w:val="99"/>
    <w:unhideWhenUsed/>
    <w:rsid w:val="00A2520F"/>
    <w:rPr>
      <w:color w:val="0000FF" w:themeColor="hyperlink"/>
      <w:u w:val="single"/>
    </w:rPr>
  </w:style>
  <w:style w:type="character" w:styleId="af0">
    <w:name w:val="Unresolved Mention"/>
    <w:basedOn w:val="a0"/>
    <w:uiPriority w:val="99"/>
    <w:semiHidden/>
    <w:unhideWhenUsed/>
    <w:rsid w:val="00A2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0ca0e3-c273-4bf0-ab96-0bbf135972db">
      <Terms xmlns="http://schemas.microsoft.com/office/infopath/2007/PartnerControls"/>
    </lcf76f155ced4ddcb4097134ff3c332f>
    <TaxCatchAll xmlns="69c0a05b-8013-4b3d-bab4-ef4c36a8c6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8040CDFBD547B3CAA7A4B17641DF" ma:contentTypeVersion="5" ma:contentTypeDescription="Create a new document." ma:contentTypeScope="" ma:versionID="c2aeede3f50a135a96940c67aa8ba516">
  <xsd:schema xmlns:xsd="http://www.w3.org/2001/XMLSchema" xmlns:xs="http://www.w3.org/2001/XMLSchema" xmlns:p="http://schemas.microsoft.com/office/2006/metadata/properties" xmlns:ns2="5e0ca0e3-c273-4bf0-ab96-0bbf135972db" xmlns:ns3="69c0a05b-8013-4b3d-bab4-ef4c36a8c65e" xmlns:ns4="acc8ae83-082c-45e4-9882-faa0d6730d76" xmlns:ns5="25a83672-ab29-42e4-a35d-9da362642b06" targetNamespace="http://schemas.microsoft.com/office/2006/metadata/properties" ma:root="true" ma:fieldsID="ac0861fc5d641d81487eff247d52d651" ns2:_="" ns3:_="" ns4:_="" ns5:_="">
    <xsd:import namespace="5e0ca0e3-c273-4bf0-ab96-0bbf135972db"/>
    <xsd:import namespace="69c0a05b-8013-4b3d-bab4-ef4c36a8c65e"/>
    <xsd:import namespace="acc8ae83-082c-45e4-9882-faa0d6730d76"/>
    <xsd:import namespace="25a83672-ab29-42e4-a35d-9da362642b06"/>
    <xsd:element name="properties">
      <xsd:complexType>
        <xsd:sequence>
          <xsd:element name="documentManagement">
            <xsd:complexType>
              <xsd:all>
                <xsd:element ref="ns2:lcf76f155ced4ddcb4097134ff3c332f" minOccurs="0"/>
                <xsd:element ref="ns3:TaxCatchAll"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LengthInSeconds" minOccurs="0"/>
                <xsd:element ref="ns5:MediaServiceLocation" minOccurs="0"/>
                <xsd:element ref="ns5:MediaServiceAutoKeyPoints" minOccurs="0"/>
                <xsd:element ref="ns5: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ca0e3-c273-4bf0-ab96-0bbf135972db"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c0a05b-8013-4b3d-bab4-ef4c36a8c65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558f330-2f5c-48ff-8855-4682dd8d5dab}" ma:internalName="TaxCatchAll" ma:showField="CatchAllData" ma:web="69c0a05b-8013-4b3d-bab4-ef4c36a8c6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9C313-549B-440A-8761-200F6C36683B}">
  <ds:schemaRefs>
    <ds:schemaRef ds:uri="http://schemas.microsoft.com/sharepoint/v3/contenttype/forms"/>
  </ds:schemaRefs>
</ds:datastoreItem>
</file>

<file path=customXml/itemProps2.xml><?xml version="1.0" encoding="utf-8"?>
<ds:datastoreItem xmlns:ds="http://schemas.openxmlformats.org/officeDocument/2006/customXml" ds:itemID="{7247F0D8-EA71-402F-BE7F-7102E076640A}">
  <ds:schemaRefs>
    <ds:schemaRef ds:uri="http://schemas.microsoft.com/office/2006/metadata/properties"/>
    <ds:schemaRef ds:uri="http://schemas.microsoft.com/office/infopath/2007/PartnerControls"/>
    <ds:schemaRef ds:uri="5e0ca0e3-c273-4bf0-ab96-0bbf135972db"/>
    <ds:schemaRef ds:uri="69c0a05b-8013-4b3d-bab4-ef4c36a8c65e"/>
  </ds:schemaRefs>
</ds:datastoreItem>
</file>

<file path=customXml/itemProps3.xml><?xml version="1.0" encoding="utf-8"?>
<ds:datastoreItem xmlns:ds="http://schemas.openxmlformats.org/officeDocument/2006/customXml" ds:itemID="{E23CBAFE-E2AD-48FA-8D8E-23872687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ca0e3-c273-4bf0-ab96-0bbf135972db"/>
    <ds:schemaRef ds:uri="69c0a05b-8013-4b3d-bab4-ef4c36a8c65e"/>
    <ds:schemaRef ds:uri="acc8ae83-082c-45e4-9882-faa0d6730d76"/>
    <ds:schemaRef ds:uri="25a83672-ab29-42e4-a35d-9da36264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1546</Words>
  <Characters>8816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ITE Eurasian Exhibitions FZ-LLC</Company>
  <LinksUpToDate>false</LinksUpToDate>
  <CharactersWithSpaces>10342</CharactersWithSpaces>
  <SharedDoc>false</SharedDoc>
  <HLinks>
    <vt:vector size="24" baseType="variant">
      <vt:variant>
        <vt:i4>327684</vt:i4>
      </vt:variant>
      <vt:variant>
        <vt:i4>9</vt:i4>
      </vt:variant>
      <vt:variant>
        <vt:i4>0</vt:i4>
      </vt:variant>
      <vt:variant>
        <vt:i4>5</vt:i4>
      </vt:variant>
      <vt:variant>
        <vt:lpwstr>https://en.wikipedia.org/wiki/Incredible_India</vt:lpwstr>
      </vt:variant>
      <vt:variant>
        <vt:lpwstr>cite_note-2</vt:lpwstr>
      </vt:variant>
      <vt:variant>
        <vt:i4>327684</vt:i4>
      </vt:variant>
      <vt:variant>
        <vt:i4>6</vt:i4>
      </vt:variant>
      <vt:variant>
        <vt:i4>0</vt:i4>
      </vt:variant>
      <vt:variant>
        <vt:i4>5</vt:i4>
      </vt:variant>
      <vt:variant>
        <vt:lpwstr>https://en.wikipedia.org/wiki/Incredible_India</vt:lpwstr>
      </vt:variant>
      <vt:variant>
        <vt:lpwstr>cite_note-1</vt:lpwstr>
      </vt:variant>
      <vt:variant>
        <vt:i4>1966144</vt:i4>
      </vt:variant>
      <vt:variant>
        <vt:i4>3</vt:i4>
      </vt:variant>
      <vt:variant>
        <vt:i4>0</vt:i4>
      </vt:variant>
      <vt:variant>
        <vt:i4>5</vt:i4>
      </vt:variant>
      <vt:variant>
        <vt:lpwstr>https://en.wikipedia.org/wiki/Tourism_in_India</vt:lpwstr>
      </vt:variant>
      <vt:variant>
        <vt:lpwstr/>
      </vt:variant>
      <vt:variant>
        <vt:i4>7274528</vt:i4>
      </vt:variant>
      <vt:variant>
        <vt:i4>0</vt:i4>
      </vt:variant>
      <vt:variant>
        <vt:i4>0</vt:i4>
      </vt:variant>
      <vt:variant>
        <vt:i4>5</vt:i4>
      </vt:variant>
      <vt:variant>
        <vt:lpwstr>https://en.wikipedia.org/wiki/Government_of_India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Klyushov</dc:creator>
  <cp:keywords>, docId:685C3A559480243EECCE28638267F241</cp:keywords>
  <cp:lastModifiedBy>Elizaveta Ogurtsova</cp:lastModifiedBy>
  <cp:revision>22</cp:revision>
  <dcterms:created xsi:type="dcterms:W3CDTF">2024-04-02T11:46:00Z</dcterms:created>
  <dcterms:modified xsi:type="dcterms:W3CDTF">2024-04-04T05:43:00Z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2024-03-27T09:24:25Z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069677a4-f3b1-4edb-893c-43ff49374258</vt:lpwstr>
  </property>
  <property fmtid="{D5CDD505-2E9C-101B-9397-08002B2CF9AE}" pid="7" name="MSIP_Label_defa4170-0d19-0005-0004-bc88714345d2_ActionId">
    <vt:lpwstr>6b55bc41-7954-4bca-9c4b-4cb8665921bc</vt:lpwstr>
  </property>
  <property fmtid="{D5CDD505-2E9C-101B-9397-08002B2CF9AE}" pid="8" name="MSIP_Label_defa4170-0d19-0005-0004-bc88714345d2_ContentBits">
    <vt:lpwstr>0</vt:lpwstr>
  </property>
  <property fmtid="{D5CDD505-2E9C-101B-9397-08002B2CF9AE}" pid="9" name="MediaServiceImageTags">
    <vt:lpwstr/>
  </property>
  <property fmtid="{D5CDD505-2E9C-101B-9397-08002B2CF9AE}" pid="10" name="GrammarlyDocumentId">
    <vt:lpwstr>e3c00742622993198823cb98488aa8a470ccaac157141abcfc858330f1841455</vt:lpwstr>
  </property>
  <property fmtid="{D5CDD505-2E9C-101B-9397-08002B2CF9AE}" pid="11" name="ContentTypeId">
    <vt:lpwstr>0x010100C8C38040CDFBD547B3CAA7A4B17641DF</vt:lpwstr>
  </property>
</Properties>
</file>